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5F9" w:rsidRPr="003677B7" w:rsidRDefault="00A045F9" w:rsidP="00A045F9">
      <w:pPr>
        <w:jc w:val="center"/>
        <w:rPr>
          <w:rFonts w:cs="Arial"/>
          <w:b/>
          <w:snapToGrid w:val="0"/>
          <w:sz w:val="22"/>
          <w:szCs w:val="22"/>
          <w:lang w:val="es-ES_tradnl"/>
        </w:rPr>
      </w:pPr>
      <w:r w:rsidRPr="003677B7">
        <w:rPr>
          <w:rFonts w:cs="Arial"/>
          <w:b/>
          <w:sz w:val="22"/>
          <w:szCs w:val="22"/>
        </w:rPr>
        <w:t>PERIODO: 1</w:t>
      </w:r>
      <w:r w:rsidR="000D7E93" w:rsidRPr="003677B7">
        <w:rPr>
          <w:rFonts w:cs="Arial"/>
          <w:b/>
          <w:sz w:val="22"/>
          <w:szCs w:val="22"/>
        </w:rPr>
        <w:t xml:space="preserve"> DE ENERO DE 2016 AL 30 DE NOV</w:t>
      </w:r>
      <w:r w:rsidR="00194B6D" w:rsidRPr="003677B7">
        <w:rPr>
          <w:rFonts w:cs="Arial"/>
          <w:b/>
          <w:sz w:val="22"/>
          <w:szCs w:val="22"/>
        </w:rPr>
        <w:t>IEMBRE</w:t>
      </w:r>
      <w:r w:rsidRPr="003677B7">
        <w:rPr>
          <w:rFonts w:cs="Arial"/>
          <w:b/>
          <w:sz w:val="22"/>
          <w:szCs w:val="22"/>
        </w:rPr>
        <w:t xml:space="preserve"> DE 2019</w:t>
      </w:r>
    </w:p>
    <w:p w:rsidR="00A045F9" w:rsidRPr="003677B7" w:rsidRDefault="00A045F9" w:rsidP="00A045F9">
      <w:pPr>
        <w:jc w:val="both"/>
        <w:rPr>
          <w:rFonts w:cs="Arial"/>
          <w:snapToGrid w:val="0"/>
          <w:sz w:val="22"/>
          <w:szCs w:val="22"/>
          <w:lang w:val="es-ES_tradnl"/>
        </w:rPr>
      </w:pPr>
    </w:p>
    <w:p w:rsidR="00A045F9" w:rsidRDefault="00A045F9" w:rsidP="00A045F9">
      <w:pPr>
        <w:widowControl w:val="0"/>
        <w:jc w:val="both"/>
        <w:rPr>
          <w:rFonts w:cs="Arial"/>
          <w:snapToGrid w:val="0"/>
          <w:sz w:val="22"/>
          <w:szCs w:val="22"/>
          <w:lang w:val="es-ES_tradnl"/>
        </w:rPr>
      </w:pPr>
      <w:r w:rsidRPr="003677B7">
        <w:rPr>
          <w:rFonts w:cs="Arial"/>
          <w:b/>
          <w:snapToGrid w:val="0"/>
          <w:sz w:val="22"/>
          <w:szCs w:val="22"/>
          <w:lang w:val="es-ES_tradnl"/>
        </w:rPr>
        <w:t xml:space="preserve">META DE PRODUCTO (E5P12MP36): </w:t>
      </w:r>
      <w:r w:rsidRPr="003677B7">
        <w:rPr>
          <w:rFonts w:cs="Arial"/>
          <w:snapToGrid w:val="0"/>
          <w:sz w:val="22"/>
          <w:szCs w:val="22"/>
          <w:lang w:val="es-ES_tradnl"/>
        </w:rPr>
        <w:t>Reducir en 21.639 millones el valor depurado y liberado de las reservas en el cuatrienio.</w:t>
      </w:r>
    </w:p>
    <w:p w:rsidR="003677B7" w:rsidRPr="003677B7" w:rsidRDefault="003677B7" w:rsidP="00A045F9">
      <w:pPr>
        <w:widowControl w:val="0"/>
        <w:jc w:val="both"/>
        <w:rPr>
          <w:rFonts w:cs="Arial"/>
          <w:snapToGrid w:val="0"/>
          <w:sz w:val="22"/>
          <w:szCs w:val="22"/>
          <w:lang w:val="es-ES_tradnl"/>
        </w:rPr>
      </w:pPr>
    </w:p>
    <w:p w:rsidR="00A045F9" w:rsidRPr="003677B7" w:rsidRDefault="008D650E" w:rsidP="008D650E">
      <w:pPr>
        <w:widowControl w:val="0"/>
        <w:jc w:val="center"/>
        <w:rPr>
          <w:rFonts w:cs="Arial"/>
          <w:b/>
          <w:snapToGrid w:val="0"/>
          <w:sz w:val="22"/>
          <w:szCs w:val="22"/>
          <w:lang w:val="es-ES_tradnl"/>
        </w:rPr>
      </w:pPr>
      <w:r w:rsidRPr="003677B7">
        <w:rPr>
          <w:rFonts w:cs="Arial"/>
          <w:b/>
          <w:snapToGrid w:val="0"/>
          <w:sz w:val="22"/>
          <w:szCs w:val="22"/>
          <w:lang w:val="es-ES_tradnl"/>
        </w:rPr>
        <w:t>JUSTIFICACION</w:t>
      </w:r>
    </w:p>
    <w:p w:rsidR="008D650E" w:rsidRDefault="008D650E" w:rsidP="008D650E">
      <w:pPr>
        <w:widowControl w:val="0"/>
        <w:jc w:val="center"/>
        <w:rPr>
          <w:rFonts w:cs="Arial"/>
          <w:b/>
          <w:snapToGrid w:val="0"/>
          <w:sz w:val="22"/>
          <w:szCs w:val="22"/>
          <w:lang w:val="es-ES_tradnl"/>
        </w:rPr>
      </w:pPr>
    </w:p>
    <w:p w:rsidR="00256639" w:rsidRPr="00256639" w:rsidRDefault="00256639" w:rsidP="00256639">
      <w:pPr>
        <w:pStyle w:val="NormalWeb"/>
        <w:shd w:val="clear" w:color="auto" w:fill="FFFFFF"/>
        <w:spacing w:before="0" w:beforeAutospacing="0" w:after="165" w:afterAutospacing="0"/>
        <w:jc w:val="both"/>
        <w:rPr>
          <w:rFonts w:ascii="Arial" w:hAnsi="Arial" w:cs="Arial"/>
          <w:sz w:val="22"/>
          <w:szCs w:val="22"/>
        </w:rPr>
      </w:pPr>
      <w:r w:rsidRPr="00256639">
        <w:rPr>
          <w:rFonts w:ascii="Arial" w:hAnsi="Arial" w:cs="Arial"/>
          <w:sz w:val="22"/>
          <w:szCs w:val="22"/>
        </w:rPr>
        <w:t>Las reservas son el resultado de hechos contractuales imprevistos, como la suspensión de los contratos u otras situaciones jurídicas, y, en todo caso, no constituyen forma ordinaria de adquirir compromisos.</w:t>
      </w:r>
    </w:p>
    <w:p w:rsidR="003677B7" w:rsidRPr="003677B7" w:rsidRDefault="003677B7" w:rsidP="003677B7">
      <w:pPr>
        <w:jc w:val="both"/>
        <w:rPr>
          <w:rFonts w:cs="Arial"/>
          <w:color w:val="000000"/>
          <w:sz w:val="22"/>
          <w:szCs w:val="22"/>
        </w:rPr>
      </w:pPr>
      <w:r w:rsidRPr="003677B7">
        <w:rPr>
          <w:rFonts w:cs="Arial"/>
          <w:color w:val="000000"/>
          <w:sz w:val="22"/>
          <w:szCs w:val="22"/>
        </w:rPr>
        <w:t>Pese a la labor de concientización  que se ha venido haciendo con cada una de las Secretarías ejecutoras del gasto, acerca de la importancia e impacto en la comunidad que causa el ejecutar dentro de la Vigencia Fiscal los recursos asignados en la inversión social, se continúan generando Reservas Presupuestales al final de cada vigencia.</w:t>
      </w:r>
    </w:p>
    <w:p w:rsidR="003677B7" w:rsidRPr="003677B7" w:rsidRDefault="003677B7" w:rsidP="003677B7">
      <w:pPr>
        <w:jc w:val="both"/>
        <w:rPr>
          <w:rFonts w:cs="Arial"/>
          <w:color w:val="FF0000"/>
          <w:sz w:val="22"/>
          <w:szCs w:val="22"/>
        </w:rPr>
      </w:pPr>
    </w:p>
    <w:p w:rsidR="003677B7" w:rsidRPr="003677B7" w:rsidRDefault="003677B7" w:rsidP="003677B7">
      <w:pPr>
        <w:jc w:val="both"/>
        <w:rPr>
          <w:rFonts w:cs="Arial"/>
          <w:i/>
          <w:color w:val="000000"/>
          <w:sz w:val="22"/>
          <w:szCs w:val="22"/>
        </w:rPr>
      </w:pPr>
      <w:r w:rsidRPr="003677B7">
        <w:rPr>
          <w:rFonts w:cs="Arial"/>
          <w:color w:val="000000"/>
          <w:sz w:val="22"/>
          <w:szCs w:val="22"/>
        </w:rPr>
        <w:t>El Departamento del Tolima continúa presentando un comportamiento recurrente de vigencias anteriores donde las ejecuciones presupuestales</w:t>
      </w:r>
      <w:r w:rsidR="00BC00E0">
        <w:rPr>
          <w:rFonts w:cs="Arial"/>
          <w:color w:val="000000"/>
          <w:sz w:val="22"/>
          <w:szCs w:val="22"/>
        </w:rPr>
        <w:t xml:space="preserve"> de la entidad reflejan </w:t>
      </w:r>
      <w:r w:rsidRPr="003677B7">
        <w:rPr>
          <w:rFonts w:cs="Arial"/>
          <w:color w:val="000000"/>
          <w:sz w:val="22"/>
          <w:szCs w:val="22"/>
        </w:rPr>
        <w:t xml:space="preserve"> rezagos presupuestales al finalizar cada vigencia, alejándose cada vez más del principio de anualidad presupuestal y lo establecido en la ley 819 de 2003, en su artículo 8 que establece “</w:t>
      </w:r>
      <w:r w:rsidRPr="003677B7">
        <w:rPr>
          <w:rFonts w:cs="Arial"/>
          <w:i/>
          <w:color w:val="000000"/>
          <w:sz w:val="22"/>
          <w:szCs w:val="22"/>
        </w:rPr>
        <w:t xml:space="preserve">La preparación y elaboración del presupuesto general de la nación y el de las Entidades Territoriales deberá sujetarse a los correspondientes Marcos Fiscales de Mediano Plazo de manera que las apropiaciones presupuestales aprobadas por el Congreso de la República, las Asambleas y los Concejos, puedan ejecutarse en su totalidad durante la vigencia fiscal correspondiente” </w:t>
      </w:r>
    </w:p>
    <w:p w:rsidR="003677B7" w:rsidRPr="003677B7" w:rsidRDefault="003677B7" w:rsidP="003677B7">
      <w:pPr>
        <w:jc w:val="both"/>
        <w:rPr>
          <w:rFonts w:cs="Arial"/>
          <w:color w:val="FF0000"/>
          <w:sz w:val="22"/>
          <w:szCs w:val="22"/>
        </w:rPr>
      </w:pPr>
    </w:p>
    <w:p w:rsidR="003677B7" w:rsidRPr="003677B7" w:rsidRDefault="003677B7" w:rsidP="003677B7">
      <w:pPr>
        <w:jc w:val="both"/>
        <w:rPr>
          <w:rFonts w:cs="Arial"/>
          <w:color w:val="000000"/>
          <w:sz w:val="22"/>
          <w:szCs w:val="22"/>
        </w:rPr>
      </w:pPr>
      <w:r w:rsidRPr="003677B7">
        <w:rPr>
          <w:rFonts w:cs="Arial"/>
          <w:color w:val="000000"/>
          <w:sz w:val="22"/>
          <w:szCs w:val="22"/>
        </w:rPr>
        <w:t>Este comportamiento  genera estancamiento y represión de recursos para la generación de nuevas inversiones causando una disminución en la ejecución de nuevos proyect</w:t>
      </w:r>
      <w:r w:rsidR="00BC00E0">
        <w:rPr>
          <w:rFonts w:cs="Arial"/>
          <w:color w:val="000000"/>
          <w:sz w:val="22"/>
          <w:szCs w:val="22"/>
        </w:rPr>
        <w:t>os de inversión</w:t>
      </w:r>
    </w:p>
    <w:p w:rsidR="00BC00E0" w:rsidRDefault="00BC00E0" w:rsidP="003677B7">
      <w:pPr>
        <w:jc w:val="both"/>
        <w:rPr>
          <w:rFonts w:cs="Arial"/>
          <w:color w:val="FF0000"/>
          <w:sz w:val="22"/>
          <w:szCs w:val="22"/>
        </w:rPr>
      </w:pPr>
    </w:p>
    <w:p w:rsidR="00BC00E0" w:rsidRPr="00BC00E0" w:rsidRDefault="00BC00E0" w:rsidP="00BC00E0">
      <w:pPr>
        <w:jc w:val="both"/>
        <w:rPr>
          <w:rFonts w:cs="Arial"/>
          <w:sz w:val="22"/>
          <w:szCs w:val="22"/>
        </w:rPr>
      </w:pPr>
      <w:r w:rsidRPr="00BC00E0">
        <w:rPr>
          <w:rFonts w:cs="Arial"/>
          <w:sz w:val="22"/>
          <w:szCs w:val="22"/>
        </w:rPr>
        <w:t>La depuración de recursos de rezagos presupuéstales, propicia una acción de liberación de partidas para una nueva destinación o fin y contribuye a un Presupuesto orientado a resultados, facilitando la  asignación de recursos a otras fuentes de inversión</w:t>
      </w:r>
    </w:p>
    <w:p w:rsidR="00BC00E0" w:rsidRPr="00BC00E0" w:rsidRDefault="00BC00E0" w:rsidP="003677B7">
      <w:pPr>
        <w:jc w:val="both"/>
        <w:rPr>
          <w:rFonts w:cs="Arial"/>
          <w:sz w:val="22"/>
          <w:szCs w:val="22"/>
        </w:rPr>
      </w:pPr>
    </w:p>
    <w:p w:rsidR="00BC00E0" w:rsidRPr="00BC00E0" w:rsidRDefault="000B1DBB" w:rsidP="00BC00E0">
      <w:pPr>
        <w:jc w:val="both"/>
        <w:rPr>
          <w:rFonts w:cs="Arial"/>
          <w:color w:val="FF0000"/>
          <w:sz w:val="22"/>
          <w:szCs w:val="22"/>
        </w:rPr>
      </w:pPr>
      <w:r w:rsidRPr="000B1DBB">
        <w:rPr>
          <w:rFonts w:cs="Arial"/>
          <w:sz w:val="22"/>
          <w:szCs w:val="22"/>
        </w:rPr>
        <w:t xml:space="preserve">A </w:t>
      </w:r>
      <w:r w:rsidR="00BC00E0" w:rsidRPr="000B1DBB">
        <w:rPr>
          <w:rFonts w:cs="Arial"/>
          <w:sz w:val="22"/>
          <w:szCs w:val="22"/>
        </w:rPr>
        <w:t>través de</w:t>
      </w:r>
      <w:r w:rsidRPr="000B1DBB">
        <w:rPr>
          <w:rFonts w:cs="Arial"/>
          <w:sz w:val="22"/>
          <w:szCs w:val="22"/>
        </w:rPr>
        <w:t xml:space="preserve"> la Meta de resultado “Reserva Presupuestal Depurada” </w:t>
      </w:r>
      <w:r w:rsidR="00BC00E0" w:rsidRPr="000B1DBB">
        <w:rPr>
          <w:rFonts w:cs="Arial"/>
          <w:sz w:val="22"/>
          <w:szCs w:val="22"/>
        </w:rPr>
        <w:t xml:space="preserve">se han recuperado  recursos que se encontraban sin ejecutar en el presupuesto de vigencias anteriores, los cuales son incorporados y son asignados a los diferentes proyectos en la inversión social, </w:t>
      </w:r>
    </w:p>
    <w:p w:rsidR="00BC00E0" w:rsidRPr="00BC00E0" w:rsidRDefault="00BC00E0" w:rsidP="00BC00E0">
      <w:pPr>
        <w:jc w:val="both"/>
        <w:rPr>
          <w:rFonts w:cs="Arial"/>
          <w:color w:val="FF0000"/>
          <w:sz w:val="22"/>
          <w:szCs w:val="22"/>
        </w:rPr>
      </w:pPr>
    </w:p>
    <w:p w:rsidR="00A045F9" w:rsidRPr="003677B7" w:rsidRDefault="00A045F9" w:rsidP="00A045F9">
      <w:pPr>
        <w:jc w:val="both"/>
        <w:rPr>
          <w:rFonts w:cs="Arial"/>
          <w:color w:val="000000"/>
          <w:sz w:val="22"/>
          <w:szCs w:val="22"/>
        </w:rPr>
      </w:pPr>
      <w:r w:rsidRPr="003677B7">
        <w:rPr>
          <w:rFonts w:cs="Arial"/>
          <w:b/>
          <w:sz w:val="22"/>
          <w:szCs w:val="22"/>
          <w:lang w:val="es-CO" w:eastAsia="es-CO"/>
        </w:rPr>
        <w:t xml:space="preserve">ACTIVIDAD </w:t>
      </w:r>
      <w:r w:rsidRPr="003677B7">
        <w:rPr>
          <w:rFonts w:cs="Arial"/>
          <w:b/>
          <w:sz w:val="22"/>
          <w:szCs w:val="22"/>
        </w:rPr>
        <w:t xml:space="preserve">Nº </w:t>
      </w:r>
      <w:r w:rsidRPr="003677B7">
        <w:rPr>
          <w:rFonts w:cs="Arial"/>
          <w:b/>
          <w:sz w:val="22"/>
          <w:szCs w:val="22"/>
          <w:lang w:val="es-CO" w:eastAsia="es-CO"/>
        </w:rPr>
        <w:t>1:</w:t>
      </w:r>
      <w:r w:rsidRPr="003677B7">
        <w:rPr>
          <w:rFonts w:cs="Arial"/>
          <w:color w:val="000000"/>
          <w:sz w:val="22"/>
          <w:szCs w:val="22"/>
        </w:rPr>
        <w:t xml:space="preserve"> Proceso de depuración de la reserva presupuestal y rendición de informes.</w:t>
      </w:r>
    </w:p>
    <w:p w:rsidR="00A045F9" w:rsidRPr="003677B7" w:rsidRDefault="00A045F9" w:rsidP="00A045F9">
      <w:pPr>
        <w:widowControl w:val="0"/>
        <w:jc w:val="both"/>
        <w:rPr>
          <w:rFonts w:cs="Arial"/>
          <w:snapToGrid w:val="0"/>
          <w:sz w:val="22"/>
          <w:szCs w:val="22"/>
          <w:lang w:val="es-ES_tradnl"/>
        </w:rPr>
      </w:pPr>
    </w:p>
    <w:p w:rsidR="00A045F9" w:rsidRPr="003677B7" w:rsidRDefault="00A045F9" w:rsidP="00A045F9">
      <w:pPr>
        <w:jc w:val="both"/>
        <w:rPr>
          <w:rFonts w:cs="Arial"/>
          <w:color w:val="000000"/>
          <w:sz w:val="22"/>
          <w:szCs w:val="22"/>
        </w:rPr>
      </w:pPr>
      <w:r w:rsidRPr="003677B7">
        <w:rPr>
          <w:rFonts w:cs="Arial"/>
          <w:b/>
          <w:color w:val="000000"/>
          <w:sz w:val="22"/>
          <w:szCs w:val="22"/>
        </w:rPr>
        <w:t xml:space="preserve">LOGROS: </w:t>
      </w:r>
    </w:p>
    <w:p w:rsidR="00A045F9" w:rsidRPr="003677B7" w:rsidRDefault="00A045F9" w:rsidP="00A045F9">
      <w:pPr>
        <w:widowControl w:val="0"/>
        <w:jc w:val="both"/>
        <w:rPr>
          <w:rFonts w:cs="Arial"/>
          <w:snapToGrid w:val="0"/>
          <w:sz w:val="22"/>
          <w:szCs w:val="22"/>
          <w:lang w:val="es-ES_tradnl"/>
        </w:rPr>
      </w:pPr>
    </w:p>
    <w:p w:rsidR="00A045F9" w:rsidRPr="0042501F" w:rsidRDefault="00A045F9" w:rsidP="00A045F9">
      <w:pPr>
        <w:widowControl w:val="0"/>
        <w:jc w:val="both"/>
        <w:rPr>
          <w:rFonts w:cs="Arial"/>
          <w:snapToGrid w:val="0"/>
          <w:sz w:val="22"/>
          <w:szCs w:val="22"/>
          <w:lang w:val="es-ES_tradnl"/>
        </w:rPr>
      </w:pPr>
      <w:r w:rsidRPr="0042501F">
        <w:rPr>
          <w:rFonts w:cs="Arial"/>
          <w:snapToGrid w:val="0"/>
          <w:sz w:val="22"/>
          <w:szCs w:val="22"/>
          <w:lang w:val="es-ES_tradnl"/>
        </w:rPr>
        <w:t>Del 1</w:t>
      </w:r>
      <w:r w:rsidR="00121735" w:rsidRPr="0042501F">
        <w:rPr>
          <w:rFonts w:cs="Arial"/>
          <w:snapToGrid w:val="0"/>
          <w:sz w:val="22"/>
          <w:szCs w:val="22"/>
          <w:lang w:val="es-ES_tradnl"/>
        </w:rPr>
        <w:t xml:space="preserve"> </w:t>
      </w:r>
      <w:r w:rsidR="005E6164" w:rsidRPr="0042501F">
        <w:rPr>
          <w:rFonts w:cs="Arial"/>
          <w:snapToGrid w:val="0"/>
          <w:sz w:val="22"/>
          <w:szCs w:val="22"/>
          <w:lang w:val="es-ES_tradnl"/>
        </w:rPr>
        <w:t>de enero y hasta el 30 de nov</w:t>
      </w:r>
      <w:r w:rsidR="00B248C6" w:rsidRPr="0042501F">
        <w:rPr>
          <w:rFonts w:cs="Arial"/>
          <w:snapToGrid w:val="0"/>
          <w:sz w:val="22"/>
          <w:szCs w:val="22"/>
          <w:lang w:val="es-ES_tradnl"/>
        </w:rPr>
        <w:t xml:space="preserve">iembre </w:t>
      </w:r>
      <w:r w:rsidRPr="0042501F">
        <w:rPr>
          <w:rFonts w:cs="Arial"/>
          <w:snapToGrid w:val="0"/>
          <w:sz w:val="22"/>
          <w:szCs w:val="22"/>
          <w:lang w:val="es-ES_tradnl"/>
        </w:rPr>
        <w:t xml:space="preserve"> de 2019, se logró l</w:t>
      </w:r>
      <w:r w:rsidR="009619D8">
        <w:rPr>
          <w:rFonts w:cs="Arial"/>
          <w:snapToGrid w:val="0"/>
          <w:sz w:val="22"/>
          <w:szCs w:val="22"/>
          <w:lang w:val="es-ES_tradnl"/>
        </w:rPr>
        <w:t xml:space="preserve">iberar recursos por valor $3.155 </w:t>
      </w:r>
      <w:r w:rsidRPr="0042501F">
        <w:rPr>
          <w:rFonts w:cs="Arial"/>
          <w:snapToGrid w:val="0"/>
          <w:sz w:val="22"/>
          <w:szCs w:val="22"/>
          <w:lang w:val="es-ES_tradnl"/>
        </w:rPr>
        <w:t xml:space="preserve">millones y depurar reservas por un valor de $$17.803 millones para un total </w:t>
      </w:r>
      <w:r w:rsidR="00AD2D27">
        <w:rPr>
          <w:rFonts w:cs="Arial"/>
          <w:snapToGrid w:val="0"/>
          <w:sz w:val="22"/>
          <w:szCs w:val="22"/>
          <w:lang w:val="es-ES_tradnl"/>
        </w:rPr>
        <w:t>$20.958</w:t>
      </w:r>
      <w:r w:rsidRPr="0042501F">
        <w:rPr>
          <w:rFonts w:cs="Arial"/>
          <w:snapToGrid w:val="0"/>
          <w:sz w:val="22"/>
          <w:szCs w:val="22"/>
          <w:lang w:val="es-ES_tradnl"/>
        </w:rPr>
        <w:t xml:space="preserve"> millones, los cuales con respecto a la meta de la vigencia 2019 cuyo valor es de $6.706 millones,  s</w:t>
      </w:r>
      <w:r w:rsidR="00B248C6" w:rsidRPr="0042501F">
        <w:rPr>
          <w:rFonts w:cs="Arial"/>
          <w:snapToGrid w:val="0"/>
          <w:sz w:val="22"/>
          <w:szCs w:val="22"/>
          <w:lang w:val="es-ES_tradnl"/>
        </w:rPr>
        <w:t>e obt</w:t>
      </w:r>
      <w:r w:rsidR="00AD2D27">
        <w:rPr>
          <w:rFonts w:cs="Arial"/>
          <w:snapToGrid w:val="0"/>
          <w:sz w:val="22"/>
          <w:szCs w:val="22"/>
          <w:lang w:val="es-ES_tradnl"/>
        </w:rPr>
        <w:t>iene, una ejecución del 313</w:t>
      </w:r>
      <w:r w:rsidRPr="0042501F">
        <w:rPr>
          <w:rFonts w:cs="Arial"/>
          <w:snapToGrid w:val="0"/>
          <w:sz w:val="22"/>
          <w:szCs w:val="22"/>
          <w:lang w:val="es-ES_tradnl"/>
        </w:rPr>
        <w:t>%, y que unidos al valor liberado y depurado en las vigencias 2016, 2017 y 2018,  el cual asciende a $28.402 Millone</w:t>
      </w:r>
      <w:r w:rsidR="00AD2D27">
        <w:rPr>
          <w:rFonts w:cs="Arial"/>
          <w:snapToGrid w:val="0"/>
          <w:sz w:val="22"/>
          <w:szCs w:val="22"/>
          <w:lang w:val="es-ES_tradnl"/>
        </w:rPr>
        <w:t>s, acumulan un total de $49.360</w:t>
      </w:r>
      <w:r w:rsidRPr="0042501F">
        <w:rPr>
          <w:rFonts w:cs="Arial"/>
          <w:snapToGrid w:val="0"/>
          <w:sz w:val="22"/>
          <w:szCs w:val="22"/>
          <w:lang w:val="es-ES_tradnl"/>
        </w:rPr>
        <w:t xml:space="preserve"> millones que repr</w:t>
      </w:r>
      <w:r w:rsidR="00AD2D27">
        <w:rPr>
          <w:rFonts w:cs="Arial"/>
          <w:snapToGrid w:val="0"/>
          <w:sz w:val="22"/>
          <w:szCs w:val="22"/>
          <w:lang w:val="es-ES_tradnl"/>
        </w:rPr>
        <w:t>esentan un cumplimiento del  228</w:t>
      </w:r>
      <w:r w:rsidRPr="0042501F">
        <w:rPr>
          <w:rFonts w:cs="Arial"/>
          <w:snapToGrid w:val="0"/>
          <w:sz w:val="22"/>
          <w:szCs w:val="22"/>
          <w:lang w:val="es-ES_tradnl"/>
        </w:rPr>
        <w:t xml:space="preserve">% con respecto de la meta acumulada para la vigencia 2016 -2019, la cual es por un valor de $21.639 Millones . Este avance de más del 100% en la meta es el resultado de un trabajo conjunto  que aunado al </w:t>
      </w:r>
      <w:r w:rsidRPr="0042501F">
        <w:rPr>
          <w:rFonts w:cs="Arial"/>
          <w:snapToGrid w:val="0"/>
          <w:sz w:val="22"/>
          <w:szCs w:val="22"/>
          <w:lang w:val="es-ES_tradnl"/>
        </w:rPr>
        <w:lastRenderedPageBreak/>
        <w:t>desarrollo de diferentes  actividades, continuamos con la  labor de depuración y liberación de recursos  arrojando  grandes beneficios para el Departamento, pues a través de este trabajo  se han  logrado recursos que han permito causar réditos que se encontraban sin ejecutar en el presupuesto de vigencias anteriores y de la vigencia actual, los cuales son incorporados y son asignados a los diferentes proyectos de inversión Social.</w:t>
      </w:r>
    </w:p>
    <w:p w:rsidR="00A045F9" w:rsidRPr="0042501F" w:rsidRDefault="00A045F9" w:rsidP="00A045F9">
      <w:pPr>
        <w:widowControl w:val="0"/>
        <w:jc w:val="both"/>
        <w:rPr>
          <w:rFonts w:cs="Arial"/>
          <w:snapToGrid w:val="0"/>
          <w:sz w:val="22"/>
          <w:szCs w:val="22"/>
          <w:lang w:val="es-ES_tradnl"/>
        </w:rPr>
      </w:pPr>
    </w:p>
    <w:p w:rsidR="00A045F9" w:rsidRPr="0042501F" w:rsidRDefault="00A045F9" w:rsidP="00A045F9">
      <w:pPr>
        <w:jc w:val="both"/>
        <w:rPr>
          <w:rFonts w:cs="Arial"/>
          <w:sz w:val="22"/>
          <w:szCs w:val="22"/>
          <w:highlight w:val="yellow"/>
        </w:rPr>
      </w:pPr>
      <w:r w:rsidRPr="0042501F">
        <w:rPr>
          <w:rFonts w:cs="Arial"/>
          <w:sz w:val="22"/>
          <w:szCs w:val="22"/>
        </w:rPr>
        <w:t>Es importante resaltar las actividades llevadas a cabo a continuación:</w:t>
      </w:r>
    </w:p>
    <w:p w:rsidR="00A045F9" w:rsidRPr="0042501F" w:rsidRDefault="00A045F9" w:rsidP="00A045F9">
      <w:pPr>
        <w:ind w:right="284"/>
        <w:jc w:val="both"/>
        <w:rPr>
          <w:rFonts w:ascii="Arial Narrow" w:hAnsi="Arial Narrow" w:cs="Arial"/>
          <w:bCs/>
          <w:sz w:val="22"/>
          <w:szCs w:val="22"/>
        </w:rPr>
      </w:pPr>
    </w:p>
    <w:p w:rsidR="00A045F9" w:rsidRPr="0042501F" w:rsidRDefault="00A045F9" w:rsidP="00A045F9">
      <w:pPr>
        <w:numPr>
          <w:ilvl w:val="0"/>
          <w:numId w:val="1"/>
        </w:numPr>
        <w:jc w:val="both"/>
        <w:rPr>
          <w:rFonts w:cs="Arial"/>
          <w:sz w:val="22"/>
          <w:szCs w:val="22"/>
        </w:rPr>
      </w:pPr>
      <w:r w:rsidRPr="0042501F">
        <w:rPr>
          <w:rFonts w:cs="Arial"/>
          <w:sz w:val="22"/>
          <w:szCs w:val="22"/>
        </w:rPr>
        <w:t>Concientizar a los ejecutores del gasto en la elaboración y firma de actas de liquidación de los actos contractuales que garantice la liberación de recursos.</w:t>
      </w:r>
    </w:p>
    <w:p w:rsidR="00A045F9" w:rsidRPr="0042501F" w:rsidRDefault="00A045F9" w:rsidP="00A045F9">
      <w:pPr>
        <w:ind w:left="720"/>
        <w:jc w:val="both"/>
        <w:rPr>
          <w:rFonts w:cs="Arial"/>
          <w:sz w:val="22"/>
          <w:szCs w:val="22"/>
        </w:rPr>
      </w:pPr>
    </w:p>
    <w:p w:rsidR="00A045F9" w:rsidRPr="0042501F" w:rsidRDefault="00A045F9" w:rsidP="00A045F9">
      <w:pPr>
        <w:numPr>
          <w:ilvl w:val="0"/>
          <w:numId w:val="1"/>
        </w:numPr>
        <w:jc w:val="both"/>
        <w:rPr>
          <w:rFonts w:cs="Arial"/>
          <w:sz w:val="22"/>
          <w:szCs w:val="22"/>
        </w:rPr>
      </w:pPr>
      <w:r w:rsidRPr="0042501F">
        <w:rPr>
          <w:rFonts w:cs="Arial"/>
          <w:sz w:val="22"/>
          <w:szCs w:val="22"/>
          <w:lang w:val="es-CO"/>
        </w:rPr>
        <w:t>Consolidación de informes de la ejecución de la Reserva Presupuestal vigente al cierre de cada mes para cada una de las Secretarias  ejecutoras y ordenadoras del gasto con el propósito de determinar liberación de recursos.</w:t>
      </w:r>
    </w:p>
    <w:p w:rsidR="00A045F9" w:rsidRPr="0042501F" w:rsidRDefault="00A045F9" w:rsidP="00A045F9">
      <w:pPr>
        <w:ind w:left="720"/>
        <w:jc w:val="both"/>
        <w:rPr>
          <w:rFonts w:cs="Arial"/>
          <w:sz w:val="22"/>
          <w:szCs w:val="22"/>
        </w:rPr>
      </w:pPr>
    </w:p>
    <w:p w:rsidR="00A045F9" w:rsidRPr="0042501F" w:rsidRDefault="00A045F9" w:rsidP="00A045F9">
      <w:pPr>
        <w:numPr>
          <w:ilvl w:val="0"/>
          <w:numId w:val="1"/>
        </w:numPr>
        <w:jc w:val="both"/>
        <w:rPr>
          <w:rFonts w:cs="Arial"/>
          <w:sz w:val="22"/>
          <w:szCs w:val="22"/>
        </w:rPr>
      </w:pPr>
      <w:r w:rsidRPr="0042501F">
        <w:rPr>
          <w:rFonts w:cs="Arial"/>
          <w:sz w:val="22"/>
          <w:szCs w:val="22"/>
          <w:lang w:val="es-CO"/>
        </w:rPr>
        <w:t xml:space="preserve">Rendición de Informes trimestrales FUT Y CATEGORIA PRESUPUESTAL CGR Y SGR a los Entes de Control dentro del término establecido y logrando indicadores de calidad del 100%. </w:t>
      </w:r>
    </w:p>
    <w:p w:rsidR="00A045F9" w:rsidRPr="0042501F" w:rsidRDefault="00A045F9" w:rsidP="00A045F9">
      <w:pPr>
        <w:ind w:left="720"/>
        <w:jc w:val="both"/>
        <w:rPr>
          <w:rFonts w:cs="Arial"/>
          <w:sz w:val="22"/>
          <w:szCs w:val="22"/>
        </w:rPr>
      </w:pPr>
    </w:p>
    <w:p w:rsidR="00A045F9" w:rsidRDefault="00A045F9" w:rsidP="00A045F9">
      <w:pPr>
        <w:numPr>
          <w:ilvl w:val="0"/>
          <w:numId w:val="1"/>
        </w:numPr>
        <w:jc w:val="both"/>
        <w:rPr>
          <w:rFonts w:cs="Arial"/>
          <w:sz w:val="22"/>
          <w:szCs w:val="22"/>
        </w:rPr>
      </w:pPr>
      <w:r w:rsidRPr="0042501F">
        <w:rPr>
          <w:rFonts w:cs="Arial"/>
          <w:sz w:val="22"/>
          <w:szCs w:val="22"/>
        </w:rPr>
        <w:t>Depuración de Reservas Presupuestales   con el propósito de liberar recursos sin ejecutar en vigencias anteriores para liberarlos y asignarlos a los diferentes proyectos  en la inversión social.</w:t>
      </w:r>
    </w:p>
    <w:p w:rsidR="0042501F" w:rsidRDefault="0042501F" w:rsidP="0042501F">
      <w:pPr>
        <w:pStyle w:val="Prrafodelista"/>
        <w:rPr>
          <w:rFonts w:cs="Arial"/>
          <w:sz w:val="22"/>
          <w:szCs w:val="22"/>
        </w:rPr>
      </w:pPr>
    </w:p>
    <w:p w:rsidR="0042501F" w:rsidRPr="0042501F" w:rsidRDefault="0042501F" w:rsidP="0042501F">
      <w:pPr>
        <w:ind w:left="720"/>
        <w:jc w:val="both"/>
        <w:rPr>
          <w:rFonts w:cs="Arial"/>
          <w:sz w:val="22"/>
          <w:szCs w:val="22"/>
        </w:rPr>
      </w:pPr>
    </w:p>
    <w:p w:rsidR="00A045F9" w:rsidRPr="000B2138" w:rsidRDefault="003246F9" w:rsidP="00A045F9">
      <w:pPr>
        <w:ind w:left="142"/>
        <w:rPr>
          <w:rFonts w:cs="Arial"/>
          <w:b/>
          <w:szCs w:val="24"/>
        </w:rPr>
      </w:pPr>
      <w:r w:rsidRPr="003246F9">
        <w:drawing>
          <wp:inline distT="0" distB="0" distL="0" distR="0">
            <wp:extent cx="5419725" cy="40290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9725" cy="4029075"/>
                    </a:xfrm>
                    <a:prstGeom prst="rect">
                      <a:avLst/>
                    </a:prstGeom>
                    <a:noFill/>
                    <a:ln>
                      <a:noFill/>
                    </a:ln>
                  </pic:spPr>
                </pic:pic>
              </a:graphicData>
            </a:graphic>
          </wp:inline>
        </w:drawing>
      </w:r>
    </w:p>
    <w:p w:rsidR="00A045F9" w:rsidRPr="0042501F" w:rsidRDefault="00A045F9" w:rsidP="00A045F9">
      <w:pPr>
        <w:ind w:left="142"/>
        <w:jc w:val="both"/>
        <w:rPr>
          <w:rFonts w:cs="Arial"/>
          <w:sz w:val="22"/>
          <w:szCs w:val="22"/>
        </w:rPr>
      </w:pPr>
      <w:r w:rsidRPr="0042501F">
        <w:rPr>
          <w:rFonts w:cs="Arial"/>
          <w:b/>
          <w:sz w:val="22"/>
          <w:szCs w:val="22"/>
        </w:rPr>
        <w:t xml:space="preserve">ACTIVIDAD </w:t>
      </w:r>
      <w:r w:rsidRPr="0042501F">
        <w:rPr>
          <w:rFonts w:cs="Arial"/>
          <w:sz w:val="22"/>
          <w:szCs w:val="22"/>
        </w:rPr>
        <w:t xml:space="preserve">Nº2 Clasificar, organizar, verificar,  efectuar seguimiento y control de la información documental generada por la labor de depuración de saldos de reservas </w:t>
      </w:r>
      <w:r w:rsidRPr="0042501F">
        <w:rPr>
          <w:rFonts w:cs="Arial"/>
          <w:sz w:val="22"/>
          <w:szCs w:val="22"/>
        </w:rPr>
        <w:lastRenderedPageBreak/>
        <w:t>presupuestales de vigencias anteriores y apoyar en los procesos de información financiera y presupuestal del Departamento. Se lleva a cabo el proceso de organización de la información documental, inventario y clasificación y archivo para dar traslado a Gestión documental central.</w:t>
      </w:r>
    </w:p>
    <w:p w:rsidR="00A045F9" w:rsidRPr="0042501F" w:rsidRDefault="00A045F9" w:rsidP="00A045F9">
      <w:pPr>
        <w:ind w:left="142"/>
        <w:jc w:val="both"/>
        <w:rPr>
          <w:rFonts w:cs="Arial"/>
          <w:color w:val="FF0000"/>
          <w:sz w:val="22"/>
          <w:szCs w:val="22"/>
        </w:rPr>
      </w:pPr>
    </w:p>
    <w:p w:rsidR="00A045F9" w:rsidRPr="0042501F" w:rsidRDefault="00A045F9" w:rsidP="00A045F9">
      <w:pPr>
        <w:jc w:val="both"/>
        <w:rPr>
          <w:rFonts w:cs="Arial"/>
          <w:sz w:val="22"/>
          <w:szCs w:val="22"/>
        </w:rPr>
      </w:pPr>
      <w:r w:rsidRPr="0042501F">
        <w:rPr>
          <w:rFonts w:cs="Arial"/>
          <w:sz w:val="22"/>
          <w:szCs w:val="22"/>
        </w:rPr>
        <w:t xml:space="preserve">Se efectúa el proceso de clasificación, organización  y control de la información presupuestal generada,  </w:t>
      </w:r>
      <w:r w:rsidR="001715BC" w:rsidRPr="0042501F">
        <w:rPr>
          <w:rFonts w:cs="Arial"/>
          <w:sz w:val="22"/>
          <w:szCs w:val="22"/>
        </w:rPr>
        <w:t>organizando el consecutivo de manera ascendente y a</w:t>
      </w:r>
      <w:r w:rsidRPr="0042501F">
        <w:rPr>
          <w:rFonts w:cs="Arial"/>
          <w:sz w:val="22"/>
          <w:szCs w:val="22"/>
        </w:rPr>
        <w:t xml:space="preserve">plicando tablas de retención documental según las normas archivísticas de documentos, relacionando con CDP, RP, DECRETOS, RESOLUCIONES entre otros. </w:t>
      </w:r>
    </w:p>
    <w:p w:rsidR="00A045F9" w:rsidRPr="0042501F" w:rsidRDefault="00A045F9" w:rsidP="00A045F9">
      <w:pPr>
        <w:ind w:left="142"/>
        <w:jc w:val="both"/>
        <w:rPr>
          <w:rFonts w:cs="Arial"/>
          <w:color w:val="FF0000"/>
          <w:sz w:val="22"/>
          <w:szCs w:val="22"/>
        </w:rPr>
      </w:pPr>
    </w:p>
    <w:p w:rsidR="00A045F9" w:rsidRPr="0042501F" w:rsidRDefault="00A045F9" w:rsidP="00A045F9">
      <w:pPr>
        <w:jc w:val="both"/>
        <w:rPr>
          <w:rFonts w:cs="Arial"/>
          <w:sz w:val="22"/>
          <w:szCs w:val="22"/>
        </w:rPr>
      </w:pPr>
      <w:r w:rsidRPr="0042501F">
        <w:rPr>
          <w:rFonts w:cs="Arial"/>
          <w:b/>
          <w:sz w:val="22"/>
          <w:szCs w:val="22"/>
        </w:rPr>
        <w:t>ACTIVIDAD 3</w:t>
      </w:r>
      <w:r w:rsidRPr="0042501F">
        <w:rPr>
          <w:rFonts w:cs="Arial"/>
          <w:sz w:val="22"/>
          <w:szCs w:val="22"/>
        </w:rPr>
        <w:t>: Efectuar seguimiento a los compromisos adquiridos en la vigencia.</w:t>
      </w:r>
    </w:p>
    <w:p w:rsidR="00A045F9" w:rsidRPr="0042501F" w:rsidRDefault="00A045F9" w:rsidP="00A045F9">
      <w:pPr>
        <w:jc w:val="both"/>
        <w:rPr>
          <w:rFonts w:cs="Arial"/>
          <w:sz w:val="22"/>
          <w:szCs w:val="22"/>
        </w:rPr>
      </w:pPr>
    </w:p>
    <w:p w:rsidR="005C3F96" w:rsidRPr="0042501F" w:rsidRDefault="00610716" w:rsidP="005C3F96">
      <w:pPr>
        <w:jc w:val="both"/>
        <w:rPr>
          <w:rFonts w:cs="Arial"/>
          <w:sz w:val="22"/>
          <w:szCs w:val="22"/>
        </w:rPr>
      </w:pPr>
      <w:r w:rsidRPr="0042501F">
        <w:rPr>
          <w:rFonts w:cs="Arial"/>
          <w:sz w:val="22"/>
          <w:szCs w:val="22"/>
        </w:rPr>
        <w:t>Como resultado del proceso efectuado, y acciones realizadas, además de informar y entregar al cierre de cada mes,  el reporte de Compromisos de la vigencia pendientes sin ejecución</w:t>
      </w:r>
      <w:r w:rsidR="009C4D10" w:rsidRPr="0042501F">
        <w:rPr>
          <w:rFonts w:cs="Arial"/>
          <w:sz w:val="22"/>
          <w:szCs w:val="22"/>
        </w:rPr>
        <w:t xml:space="preserve">, se  lleva a cabo la verificación de la ejecución del acto contractual  </w:t>
      </w:r>
      <w:r w:rsidR="005C3F96" w:rsidRPr="0042501F">
        <w:rPr>
          <w:rFonts w:cs="Arial"/>
          <w:sz w:val="22"/>
          <w:szCs w:val="22"/>
        </w:rPr>
        <w:t xml:space="preserve"> en el tiempo establecido. Proceso que se está efectuando al cierre de cada mes en cada una de la Secretarias asignadas en las actividades de los contratos, cuyo objetivo final es evitar la constitución de Reservas Presupuestal al cierre de la vigencia </w:t>
      </w:r>
      <w:r w:rsidR="00792FC5" w:rsidRPr="0042501F">
        <w:rPr>
          <w:rFonts w:cs="Arial"/>
          <w:sz w:val="22"/>
          <w:szCs w:val="22"/>
        </w:rPr>
        <w:t>2019.</w:t>
      </w:r>
      <w:r w:rsidR="0029335A" w:rsidRPr="0042501F">
        <w:rPr>
          <w:rFonts w:cs="Arial"/>
          <w:sz w:val="22"/>
          <w:szCs w:val="22"/>
        </w:rPr>
        <w:t xml:space="preserve"> La ejecuci</w:t>
      </w:r>
      <w:r w:rsidR="009A2741" w:rsidRPr="0042501F">
        <w:rPr>
          <w:rFonts w:cs="Arial"/>
          <w:sz w:val="22"/>
          <w:szCs w:val="22"/>
        </w:rPr>
        <w:t>ón total del D</w:t>
      </w:r>
      <w:r w:rsidR="00AC3048" w:rsidRPr="0042501F">
        <w:rPr>
          <w:rFonts w:cs="Arial"/>
          <w:sz w:val="22"/>
          <w:szCs w:val="22"/>
        </w:rPr>
        <w:t>epartamento, al 30 de noviembre</w:t>
      </w:r>
      <w:r w:rsidR="0029335A" w:rsidRPr="0042501F">
        <w:rPr>
          <w:rFonts w:cs="Arial"/>
          <w:sz w:val="22"/>
          <w:szCs w:val="22"/>
        </w:rPr>
        <w:t xml:space="preserve"> d</w:t>
      </w:r>
      <w:r w:rsidR="00AD2D27">
        <w:rPr>
          <w:rFonts w:cs="Arial"/>
          <w:sz w:val="22"/>
          <w:szCs w:val="22"/>
        </w:rPr>
        <w:t>e 2019, se encuentra en el 82</w:t>
      </w:r>
      <w:r w:rsidR="0029335A" w:rsidRPr="0042501F">
        <w:rPr>
          <w:rFonts w:cs="Arial"/>
          <w:sz w:val="22"/>
          <w:szCs w:val="22"/>
        </w:rPr>
        <w:t>%</w:t>
      </w:r>
    </w:p>
    <w:p w:rsidR="005C3F96" w:rsidRDefault="005C3F96" w:rsidP="00A045F9">
      <w:pPr>
        <w:jc w:val="center"/>
        <w:rPr>
          <w:rFonts w:cs="Arial"/>
          <w:b/>
          <w:color w:val="000000"/>
          <w:szCs w:val="24"/>
        </w:rPr>
      </w:pPr>
    </w:p>
    <w:p w:rsidR="00A045F9" w:rsidRPr="00127843" w:rsidRDefault="00A045F9" w:rsidP="00A045F9">
      <w:pPr>
        <w:jc w:val="center"/>
        <w:rPr>
          <w:rFonts w:cs="Arial"/>
          <w:b/>
          <w:color w:val="000000"/>
          <w:szCs w:val="24"/>
        </w:rPr>
      </w:pPr>
      <w:r w:rsidRPr="00127843">
        <w:rPr>
          <w:rFonts w:cs="Arial"/>
          <w:b/>
          <w:color w:val="000000"/>
          <w:szCs w:val="24"/>
        </w:rPr>
        <w:t>EJECUCION PRES</w:t>
      </w:r>
      <w:r w:rsidR="00744614">
        <w:rPr>
          <w:rFonts w:cs="Arial"/>
          <w:b/>
          <w:color w:val="000000"/>
          <w:szCs w:val="24"/>
        </w:rPr>
        <w:t>UPU</w:t>
      </w:r>
      <w:r w:rsidR="00AD2D27">
        <w:rPr>
          <w:rFonts w:cs="Arial"/>
          <w:b/>
          <w:color w:val="000000"/>
          <w:szCs w:val="24"/>
        </w:rPr>
        <w:t>ESTAL DE GASTOS AL 30 DE NOVIEMBRE</w:t>
      </w:r>
      <w:r>
        <w:rPr>
          <w:rFonts w:cs="Arial"/>
          <w:b/>
          <w:color w:val="000000"/>
          <w:szCs w:val="24"/>
        </w:rPr>
        <w:t xml:space="preserve"> </w:t>
      </w:r>
      <w:proofErr w:type="spellStart"/>
      <w:r>
        <w:rPr>
          <w:rFonts w:cs="Arial"/>
          <w:b/>
          <w:color w:val="000000"/>
          <w:szCs w:val="24"/>
        </w:rPr>
        <w:t>DE</w:t>
      </w:r>
      <w:proofErr w:type="spellEnd"/>
      <w:r>
        <w:rPr>
          <w:rFonts w:cs="Arial"/>
          <w:b/>
          <w:color w:val="000000"/>
          <w:szCs w:val="24"/>
        </w:rPr>
        <w:t xml:space="preserve"> </w:t>
      </w:r>
      <w:r w:rsidRPr="00127843">
        <w:rPr>
          <w:rFonts w:cs="Arial"/>
          <w:b/>
          <w:color w:val="000000"/>
          <w:szCs w:val="24"/>
        </w:rPr>
        <w:t xml:space="preserve"> 2019</w:t>
      </w:r>
      <w:bookmarkStart w:id="0" w:name="_GoBack"/>
      <w:bookmarkEnd w:id="0"/>
    </w:p>
    <w:p w:rsidR="00A045F9" w:rsidRPr="00EB04AE" w:rsidRDefault="00A045F9" w:rsidP="00A045F9">
      <w:pPr>
        <w:jc w:val="both"/>
        <w:rPr>
          <w:rFonts w:cs="Arial"/>
          <w:color w:val="000000"/>
          <w:szCs w:val="24"/>
        </w:rPr>
      </w:pPr>
      <w:r>
        <w:rPr>
          <w:rFonts w:cs="Arial"/>
          <w:color w:val="000000"/>
          <w:szCs w:val="24"/>
        </w:rPr>
        <w:t xml:space="preserve">  </w:t>
      </w:r>
    </w:p>
    <w:p w:rsidR="00A045F9" w:rsidRDefault="00AD2D27" w:rsidP="00A045F9">
      <w:pPr>
        <w:jc w:val="both"/>
        <w:rPr>
          <w:rFonts w:cs="Arial"/>
          <w:szCs w:val="24"/>
        </w:rPr>
      </w:pPr>
      <w:r w:rsidRPr="00AD2D27">
        <w:drawing>
          <wp:inline distT="0" distB="0" distL="0" distR="0">
            <wp:extent cx="5612130" cy="3861407"/>
            <wp:effectExtent l="0" t="0" r="762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2130" cy="3861407"/>
                    </a:xfrm>
                    <a:prstGeom prst="rect">
                      <a:avLst/>
                    </a:prstGeom>
                    <a:noFill/>
                    <a:ln>
                      <a:noFill/>
                    </a:ln>
                  </pic:spPr>
                </pic:pic>
              </a:graphicData>
            </a:graphic>
          </wp:inline>
        </w:drawing>
      </w:r>
    </w:p>
    <w:p w:rsidR="00FA3A20" w:rsidRDefault="00FA3A20" w:rsidP="00A045F9">
      <w:pPr>
        <w:jc w:val="both"/>
        <w:rPr>
          <w:rFonts w:cs="Arial"/>
          <w:szCs w:val="24"/>
        </w:rPr>
      </w:pPr>
    </w:p>
    <w:p w:rsidR="0042501F" w:rsidRDefault="0042501F" w:rsidP="00A045F9">
      <w:pPr>
        <w:jc w:val="center"/>
        <w:rPr>
          <w:rFonts w:cs="Arial"/>
          <w:b/>
          <w:szCs w:val="24"/>
        </w:rPr>
      </w:pPr>
    </w:p>
    <w:p w:rsidR="0042501F" w:rsidRDefault="0042501F" w:rsidP="00A045F9">
      <w:pPr>
        <w:jc w:val="center"/>
        <w:rPr>
          <w:rFonts w:cs="Arial"/>
          <w:b/>
          <w:szCs w:val="24"/>
        </w:rPr>
      </w:pPr>
    </w:p>
    <w:p w:rsidR="0042501F" w:rsidRDefault="0042501F" w:rsidP="00A045F9">
      <w:pPr>
        <w:jc w:val="center"/>
        <w:rPr>
          <w:rFonts w:cs="Arial"/>
          <w:b/>
          <w:szCs w:val="24"/>
        </w:rPr>
      </w:pPr>
    </w:p>
    <w:p w:rsidR="0042501F" w:rsidRDefault="0042501F" w:rsidP="00A045F9">
      <w:pPr>
        <w:jc w:val="center"/>
        <w:rPr>
          <w:rFonts w:cs="Arial"/>
          <w:b/>
          <w:szCs w:val="24"/>
        </w:rPr>
      </w:pPr>
    </w:p>
    <w:p w:rsidR="00A045F9" w:rsidRDefault="00A045F9" w:rsidP="00A045F9">
      <w:pPr>
        <w:jc w:val="center"/>
        <w:rPr>
          <w:rFonts w:cs="Arial"/>
          <w:b/>
          <w:szCs w:val="24"/>
        </w:rPr>
      </w:pPr>
      <w:r w:rsidRPr="00127843">
        <w:rPr>
          <w:rFonts w:cs="Arial"/>
          <w:b/>
          <w:szCs w:val="24"/>
        </w:rPr>
        <w:t>EJECUCION RESERVA PRESUPUESTAL 2018 VS 2019</w:t>
      </w:r>
    </w:p>
    <w:p w:rsidR="00A045F9" w:rsidRDefault="00A045F9" w:rsidP="00A045F9">
      <w:pPr>
        <w:jc w:val="center"/>
        <w:rPr>
          <w:rFonts w:cs="Arial"/>
          <w:b/>
          <w:szCs w:val="24"/>
        </w:rPr>
      </w:pPr>
    </w:p>
    <w:tbl>
      <w:tblPr>
        <w:tblW w:w="9520" w:type="dxa"/>
        <w:tblCellMar>
          <w:left w:w="70" w:type="dxa"/>
          <w:right w:w="70" w:type="dxa"/>
        </w:tblCellMar>
        <w:tblLook w:val="04A0" w:firstRow="1" w:lastRow="0" w:firstColumn="1" w:lastColumn="0" w:noHBand="0" w:noVBand="1"/>
      </w:tblPr>
      <w:tblGrid>
        <w:gridCol w:w="4280"/>
        <w:gridCol w:w="1780"/>
        <w:gridCol w:w="1860"/>
        <w:gridCol w:w="1600"/>
      </w:tblGrid>
      <w:tr w:rsidR="0031652A" w:rsidRPr="0031652A" w:rsidTr="0031652A">
        <w:trPr>
          <w:trHeight w:val="450"/>
        </w:trPr>
        <w:tc>
          <w:tcPr>
            <w:tcW w:w="4280" w:type="dxa"/>
            <w:vMerge w:val="restart"/>
            <w:tcBorders>
              <w:top w:val="single" w:sz="8" w:space="0" w:color="auto"/>
              <w:left w:val="single" w:sz="8" w:space="0" w:color="auto"/>
              <w:bottom w:val="single" w:sz="4" w:space="0" w:color="000000"/>
              <w:right w:val="nil"/>
            </w:tcBorders>
            <w:shd w:val="clear" w:color="000000" w:fill="990033"/>
            <w:vAlign w:val="center"/>
            <w:hideMark/>
          </w:tcPr>
          <w:p w:rsidR="0031652A" w:rsidRPr="0031652A" w:rsidRDefault="0031652A" w:rsidP="0031652A">
            <w:pPr>
              <w:jc w:val="center"/>
              <w:rPr>
                <w:rFonts w:cs="Arial"/>
                <w:b/>
                <w:bCs/>
                <w:color w:val="FFFFFF"/>
                <w:sz w:val="22"/>
                <w:szCs w:val="22"/>
              </w:rPr>
            </w:pPr>
            <w:r w:rsidRPr="0031652A">
              <w:rPr>
                <w:rFonts w:cs="Arial"/>
                <w:b/>
                <w:bCs/>
                <w:color w:val="FFFFFF"/>
                <w:sz w:val="22"/>
                <w:szCs w:val="22"/>
              </w:rPr>
              <w:t>CONCEPTO</w:t>
            </w:r>
          </w:p>
        </w:tc>
        <w:tc>
          <w:tcPr>
            <w:tcW w:w="5240" w:type="dxa"/>
            <w:gridSpan w:val="3"/>
            <w:tcBorders>
              <w:top w:val="single" w:sz="8" w:space="0" w:color="auto"/>
              <w:left w:val="single" w:sz="4" w:space="0" w:color="auto"/>
              <w:bottom w:val="single" w:sz="4" w:space="0" w:color="auto"/>
              <w:right w:val="single" w:sz="4" w:space="0" w:color="auto"/>
            </w:tcBorders>
            <w:shd w:val="clear" w:color="000000" w:fill="990033"/>
            <w:noWrap/>
            <w:vAlign w:val="bottom"/>
            <w:hideMark/>
          </w:tcPr>
          <w:p w:rsidR="0031652A" w:rsidRPr="0031652A" w:rsidRDefault="0031652A" w:rsidP="0031652A">
            <w:pPr>
              <w:jc w:val="center"/>
              <w:rPr>
                <w:rFonts w:cs="Arial"/>
                <w:b/>
                <w:bCs/>
                <w:color w:val="FFFFFF"/>
                <w:sz w:val="22"/>
                <w:szCs w:val="22"/>
              </w:rPr>
            </w:pPr>
            <w:r w:rsidRPr="0031652A">
              <w:rPr>
                <w:rFonts w:cs="Arial"/>
                <w:b/>
                <w:bCs/>
                <w:color w:val="FFFFFF"/>
                <w:sz w:val="22"/>
                <w:szCs w:val="22"/>
              </w:rPr>
              <w:t>AL 30 DE NOVIEMBRE  DE 2019</w:t>
            </w:r>
          </w:p>
        </w:tc>
      </w:tr>
      <w:tr w:rsidR="0031652A" w:rsidRPr="0031652A" w:rsidTr="0031652A">
        <w:trPr>
          <w:trHeight w:val="600"/>
        </w:trPr>
        <w:tc>
          <w:tcPr>
            <w:tcW w:w="4280" w:type="dxa"/>
            <w:vMerge/>
            <w:tcBorders>
              <w:top w:val="single" w:sz="8" w:space="0" w:color="auto"/>
              <w:left w:val="single" w:sz="8" w:space="0" w:color="auto"/>
              <w:bottom w:val="single" w:sz="4" w:space="0" w:color="000000"/>
              <w:right w:val="nil"/>
            </w:tcBorders>
            <w:vAlign w:val="center"/>
            <w:hideMark/>
          </w:tcPr>
          <w:p w:rsidR="0031652A" w:rsidRPr="0031652A" w:rsidRDefault="0031652A" w:rsidP="0031652A">
            <w:pPr>
              <w:rPr>
                <w:rFonts w:cs="Arial"/>
                <w:b/>
                <w:bCs/>
                <w:color w:val="FFFFFF"/>
                <w:sz w:val="22"/>
                <w:szCs w:val="22"/>
              </w:rPr>
            </w:pPr>
          </w:p>
        </w:tc>
        <w:tc>
          <w:tcPr>
            <w:tcW w:w="1780" w:type="dxa"/>
            <w:tcBorders>
              <w:top w:val="nil"/>
              <w:left w:val="single" w:sz="4" w:space="0" w:color="auto"/>
              <w:bottom w:val="single" w:sz="4" w:space="0" w:color="auto"/>
              <w:right w:val="single" w:sz="4" w:space="0" w:color="auto"/>
            </w:tcBorders>
            <w:shd w:val="clear" w:color="000000" w:fill="990033"/>
            <w:vAlign w:val="center"/>
            <w:hideMark/>
          </w:tcPr>
          <w:p w:rsidR="0031652A" w:rsidRPr="0031652A" w:rsidRDefault="0031652A" w:rsidP="0031652A">
            <w:pPr>
              <w:jc w:val="center"/>
              <w:rPr>
                <w:rFonts w:cs="Arial"/>
                <w:b/>
                <w:bCs/>
                <w:color w:val="FFFFFF"/>
                <w:sz w:val="22"/>
                <w:szCs w:val="22"/>
              </w:rPr>
            </w:pPr>
            <w:r w:rsidRPr="0031652A">
              <w:rPr>
                <w:rFonts w:cs="Arial"/>
                <w:b/>
                <w:bCs/>
                <w:color w:val="FFFFFF"/>
                <w:sz w:val="22"/>
                <w:szCs w:val="22"/>
              </w:rPr>
              <w:t>RESERVA  CONSTITUIDA</w:t>
            </w:r>
          </w:p>
        </w:tc>
        <w:tc>
          <w:tcPr>
            <w:tcW w:w="1860" w:type="dxa"/>
            <w:tcBorders>
              <w:top w:val="nil"/>
              <w:left w:val="nil"/>
              <w:bottom w:val="single" w:sz="4" w:space="0" w:color="auto"/>
              <w:right w:val="single" w:sz="4" w:space="0" w:color="auto"/>
            </w:tcBorders>
            <w:shd w:val="clear" w:color="000000" w:fill="990033"/>
            <w:vAlign w:val="center"/>
            <w:hideMark/>
          </w:tcPr>
          <w:p w:rsidR="0031652A" w:rsidRPr="0031652A" w:rsidRDefault="0031652A" w:rsidP="0031652A">
            <w:pPr>
              <w:jc w:val="center"/>
              <w:rPr>
                <w:rFonts w:cs="Arial"/>
                <w:b/>
                <w:bCs/>
                <w:color w:val="FFFFFF"/>
                <w:sz w:val="22"/>
                <w:szCs w:val="22"/>
              </w:rPr>
            </w:pPr>
            <w:r w:rsidRPr="0031652A">
              <w:rPr>
                <w:rFonts w:cs="Arial"/>
                <w:b/>
                <w:bCs/>
                <w:color w:val="FFFFFF"/>
                <w:sz w:val="22"/>
                <w:szCs w:val="22"/>
              </w:rPr>
              <w:t xml:space="preserve">RESERVA EJECUTADA </w:t>
            </w:r>
          </w:p>
        </w:tc>
        <w:tc>
          <w:tcPr>
            <w:tcW w:w="1600" w:type="dxa"/>
            <w:tcBorders>
              <w:top w:val="nil"/>
              <w:left w:val="nil"/>
              <w:bottom w:val="single" w:sz="4" w:space="0" w:color="auto"/>
              <w:right w:val="single" w:sz="8" w:space="0" w:color="auto"/>
            </w:tcBorders>
            <w:shd w:val="clear" w:color="000000" w:fill="990033"/>
            <w:vAlign w:val="center"/>
            <w:hideMark/>
          </w:tcPr>
          <w:p w:rsidR="0031652A" w:rsidRPr="0031652A" w:rsidRDefault="0031652A" w:rsidP="0031652A">
            <w:pPr>
              <w:jc w:val="center"/>
              <w:rPr>
                <w:rFonts w:cs="Arial"/>
                <w:b/>
                <w:bCs/>
                <w:color w:val="FFFFFF"/>
                <w:sz w:val="22"/>
                <w:szCs w:val="22"/>
              </w:rPr>
            </w:pPr>
            <w:r w:rsidRPr="0031652A">
              <w:rPr>
                <w:rFonts w:cs="Arial"/>
                <w:b/>
                <w:bCs/>
                <w:color w:val="FFFFFF"/>
                <w:sz w:val="22"/>
                <w:szCs w:val="22"/>
              </w:rPr>
              <w:t>% EJECUCION</w:t>
            </w:r>
          </w:p>
        </w:tc>
      </w:tr>
      <w:tr w:rsidR="0031652A" w:rsidRPr="0031652A" w:rsidTr="0031652A">
        <w:trPr>
          <w:trHeight w:val="465"/>
        </w:trPr>
        <w:tc>
          <w:tcPr>
            <w:tcW w:w="4280" w:type="dxa"/>
            <w:tcBorders>
              <w:top w:val="nil"/>
              <w:left w:val="single" w:sz="8" w:space="0" w:color="auto"/>
              <w:bottom w:val="single" w:sz="4" w:space="0" w:color="auto"/>
              <w:right w:val="single" w:sz="4" w:space="0" w:color="auto"/>
            </w:tcBorders>
            <w:shd w:val="clear" w:color="000000" w:fill="F2F2F2"/>
            <w:vAlign w:val="bottom"/>
            <w:hideMark/>
          </w:tcPr>
          <w:p w:rsidR="0031652A" w:rsidRPr="0031652A" w:rsidRDefault="0031652A" w:rsidP="0031652A">
            <w:pPr>
              <w:jc w:val="both"/>
              <w:rPr>
                <w:rFonts w:cs="Arial"/>
                <w:b/>
                <w:bCs/>
                <w:szCs w:val="24"/>
              </w:rPr>
            </w:pPr>
            <w:r w:rsidRPr="0031652A">
              <w:rPr>
                <w:rFonts w:cs="Arial"/>
                <w:b/>
                <w:bCs/>
                <w:szCs w:val="24"/>
              </w:rPr>
              <w:t>ADMINISTRACION CENTRAL</w:t>
            </w:r>
          </w:p>
        </w:tc>
        <w:tc>
          <w:tcPr>
            <w:tcW w:w="1780" w:type="dxa"/>
            <w:tcBorders>
              <w:top w:val="nil"/>
              <w:left w:val="nil"/>
              <w:bottom w:val="single" w:sz="4" w:space="0" w:color="auto"/>
              <w:right w:val="single" w:sz="4" w:space="0" w:color="auto"/>
            </w:tcBorders>
            <w:shd w:val="clear" w:color="000000" w:fill="F2F2F2"/>
            <w:vAlign w:val="center"/>
            <w:hideMark/>
          </w:tcPr>
          <w:p w:rsidR="0031652A" w:rsidRPr="0031652A" w:rsidRDefault="0031652A" w:rsidP="0031652A">
            <w:pPr>
              <w:jc w:val="right"/>
              <w:rPr>
                <w:rFonts w:cs="Arial"/>
                <w:b/>
                <w:bCs/>
                <w:sz w:val="22"/>
                <w:szCs w:val="22"/>
              </w:rPr>
            </w:pPr>
            <w:r w:rsidRPr="0031652A">
              <w:rPr>
                <w:rFonts w:cs="Arial"/>
                <w:b/>
                <w:bCs/>
                <w:sz w:val="22"/>
                <w:szCs w:val="22"/>
              </w:rPr>
              <w:t>50,451</w:t>
            </w:r>
          </w:p>
        </w:tc>
        <w:tc>
          <w:tcPr>
            <w:tcW w:w="1860" w:type="dxa"/>
            <w:tcBorders>
              <w:top w:val="nil"/>
              <w:left w:val="nil"/>
              <w:bottom w:val="single" w:sz="4" w:space="0" w:color="auto"/>
              <w:right w:val="single" w:sz="4" w:space="0" w:color="auto"/>
            </w:tcBorders>
            <w:shd w:val="clear" w:color="000000" w:fill="F2F2F2"/>
            <w:vAlign w:val="center"/>
            <w:hideMark/>
          </w:tcPr>
          <w:p w:rsidR="0031652A" w:rsidRPr="0031652A" w:rsidRDefault="0031652A" w:rsidP="0031652A">
            <w:pPr>
              <w:jc w:val="right"/>
              <w:rPr>
                <w:rFonts w:cs="Arial"/>
                <w:b/>
                <w:bCs/>
                <w:sz w:val="22"/>
                <w:szCs w:val="22"/>
              </w:rPr>
            </w:pPr>
            <w:r w:rsidRPr="0031652A">
              <w:rPr>
                <w:rFonts w:cs="Arial"/>
                <w:b/>
                <w:bCs/>
                <w:sz w:val="22"/>
                <w:szCs w:val="22"/>
              </w:rPr>
              <w:t>42,030</w:t>
            </w:r>
          </w:p>
        </w:tc>
        <w:tc>
          <w:tcPr>
            <w:tcW w:w="1600" w:type="dxa"/>
            <w:tcBorders>
              <w:top w:val="nil"/>
              <w:left w:val="nil"/>
              <w:bottom w:val="single" w:sz="4" w:space="0" w:color="auto"/>
              <w:right w:val="single" w:sz="8" w:space="0" w:color="auto"/>
            </w:tcBorders>
            <w:shd w:val="clear" w:color="000000" w:fill="F2F2F2"/>
            <w:vAlign w:val="center"/>
            <w:hideMark/>
          </w:tcPr>
          <w:p w:rsidR="0031652A" w:rsidRPr="0031652A" w:rsidRDefault="0031652A" w:rsidP="0031652A">
            <w:pPr>
              <w:jc w:val="center"/>
              <w:rPr>
                <w:rFonts w:cs="Arial"/>
                <w:b/>
                <w:bCs/>
                <w:sz w:val="22"/>
                <w:szCs w:val="22"/>
              </w:rPr>
            </w:pPr>
            <w:r w:rsidRPr="0031652A">
              <w:rPr>
                <w:rFonts w:cs="Arial"/>
                <w:b/>
                <w:bCs/>
                <w:sz w:val="22"/>
                <w:szCs w:val="22"/>
              </w:rPr>
              <w:t>83%</w:t>
            </w:r>
          </w:p>
        </w:tc>
      </w:tr>
      <w:tr w:rsidR="0031652A" w:rsidRPr="0031652A" w:rsidTr="0031652A">
        <w:trPr>
          <w:trHeight w:val="435"/>
        </w:trPr>
        <w:tc>
          <w:tcPr>
            <w:tcW w:w="4280" w:type="dxa"/>
            <w:tcBorders>
              <w:top w:val="nil"/>
              <w:left w:val="single" w:sz="8" w:space="0" w:color="auto"/>
              <w:bottom w:val="single" w:sz="4" w:space="0" w:color="auto"/>
              <w:right w:val="single" w:sz="4" w:space="0" w:color="auto"/>
            </w:tcBorders>
            <w:shd w:val="clear" w:color="000000" w:fill="F2F2F2"/>
            <w:vAlign w:val="bottom"/>
            <w:hideMark/>
          </w:tcPr>
          <w:p w:rsidR="0031652A" w:rsidRPr="0031652A" w:rsidRDefault="0031652A" w:rsidP="0031652A">
            <w:pPr>
              <w:jc w:val="both"/>
              <w:rPr>
                <w:rFonts w:cs="Arial"/>
                <w:szCs w:val="24"/>
              </w:rPr>
            </w:pPr>
            <w:r w:rsidRPr="0031652A">
              <w:rPr>
                <w:rFonts w:cs="Arial"/>
                <w:szCs w:val="24"/>
              </w:rPr>
              <w:t>FUNCIONAMIENTO</w:t>
            </w:r>
          </w:p>
        </w:tc>
        <w:tc>
          <w:tcPr>
            <w:tcW w:w="178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sz w:val="22"/>
                <w:szCs w:val="22"/>
              </w:rPr>
            </w:pPr>
            <w:r w:rsidRPr="0031652A">
              <w:rPr>
                <w:rFonts w:cs="Arial"/>
                <w:sz w:val="22"/>
                <w:szCs w:val="22"/>
              </w:rPr>
              <w:t>941</w:t>
            </w:r>
          </w:p>
        </w:tc>
        <w:tc>
          <w:tcPr>
            <w:tcW w:w="186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sz w:val="22"/>
                <w:szCs w:val="22"/>
              </w:rPr>
            </w:pPr>
            <w:r w:rsidRPr="0031652A">
              <w:rPr>
                <w:rFonts w:cs="Arial"/>
                <w:sz w:val="22"/>
                <w:szCs w:val="22"/>
              </w:rPr>
              <w:t>873</w:t>
            </w:r>
          </w:p>
        </w:tc>
        <w:tc>
          <w:tcPr>
            <w:tcW w:w="1600" w:type="dxa"/>
            <w:tcBorders>
              <w:top w:val="nil"/>
              <w:left w:val="nil"/>
              <w:bottom w:val="single" w:sz="4" w:space="0" w:color="auto"/>
              <w:right w:val="single" w:sz="8" w:space="0" w:color="auto"/>
            </w:tcBorders>
            <w:shd w:val="clear" w:color="000000" w:fill="F2F2F2"/>
            <w:noWrap/>
            <w:vAlign w:val="bottom"/>
            <w:hideMark/>
          </w:tcPr>
          <w:p w:rsidR="0031652A" w:rsidRPr="0031652A" w:rsidRDefault="0031652A" w:rsidP="0031652A">
            <w:pPr>
              <w:jc w:val="center"/>
              <w:rPr>
                <w:rFonts w:cs="Arial"/>
                <w:sz w:val="22"/>
                <w:szCs w:val="22"/>
              </w:rPr>
            </w:pPr>
            <w:r w:rsidRPr="0031652A">
              <w:rPr>
                <w:rFonts w:cs="Arial"/>
                <w:sz w:val="22"/>
                <w:szCs w:val="22"/>
              </w:rPr>
              <w:t>93%</w:t>
            </w:r>
          </w:p>
        </w:tc>
      </w:tr>
      <w:tr w:rsidR="0031652A" w:rsidRPr="0031652A" w:rsidTr="0031652A">
        <w:trPr>
          <w:trHeight w:val="300"/>
        </w:trPr>
        <w:tc>
          <w:tcPr>
            <w:tcW w:w="4280" w:type="dxa"/>
            <w:tcBorders>
              <w:top w:val="nil"/>
              <w:left w:val="single" w:sz="8" w:space="0" w:color="auto"/>
              <w:bottom w:val="single" w:sz="4" w:space="0" w:color="auto"/>
              <w:right w:val="single" w:sz="4" w:space="0" w:color="auto"/>
            </w:tcBorders>
            <w:shd w:val="clear" w:color="000000" w:fill="F2F2F2"/>
            <w:vAlign w:val="bottom"/>
            <w:hideMark/>
          </w:tcPr>
          <w:p w:rsidR="0031652A" w:rsidRPr="0031652A" w:rsidRDefault="0031652A" w:rsidP="0031652A">
            <w:pPr>
              <w:jc w:val="both"/>
              <w:rPr>
                <w:rFonts w:cs="Arial"/>
                <w:szCs w:val="24"/>
              </w:rPr>
            </w:pPr>
            <w:r w:rsidRPr="0031652A">
              <w:rPr>
                <w:rFonts w:cs="Arial"/>
                <w:szCs w:val="24"/>
              </w:rPr>
              <w:t>DEUDA</w:t>
            </w:r>
          </w:p>
        </w:tc>
        <w:tc>
          <w:tcPr>
            <w:tcW w:w="178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sz w:val="22"/>
                <w:szCs w:val="22"/>
              </w:rPr>
            </w:pPr>
            <w:r w:rsidRPr="0031652A">
              <w:rPr>
                <w:rFonts w:cs="Arial"/>
                <w:sz w:val="22"/>
                <w:szCs w:val="22"/>
              </w:rPr>
              <w:t>0</w:t>
            </w:r>
          </w:p>
        </w:tc>
        <w:tc>
          <w:tcPr>
            <w:tcW w:w="186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sz w:val="22"/>
                <w:szCs w:val="22"/>
              </w:rPr>
            </w:pPr>
            <w:r w:rsidRPr="0031652A">
              <w:rPr>
                <w:rFonts w:cs="Arial"/>
                <w:sz w:val="22"/>
                <w:szCs w:val="22"/>
              </w:rPr>
              <w:t>0</w:t>
            </w:r>
          </w:p>
        </w:tc>
        <w:tc>
          <w:tcPr>
            <w:tcW w:w="1600" w:type="dxa"/>
            <w:tcBorders>
              <w:top w:val="nil"/>
              <w:left w:val="nil"/>
              <w:bottom w:val="single" w:sz="4" w:space="0" w:color="auto"/>
              <w:right w:val="single" w:sz="8" w:space="0" w:color="auto"/>
            </w:tcBorders>
            <w:shd w:val="clear" w:color="000000" w:fill="F2F2F2"/>
            <w:noWrap/>
            <w:vAlign w:val="bottom"/>
            <w:hideMark/>
          </w:tcPr>
          <w:p w:rsidR="0031652A" w:rsidRPr="0031652A" w:rsidRDefault="0031652A" w:rsidP="0031652A">
            <w:pPr>
              <w:jc w:val="center"/>
              <w:rPr>
                <w:rFonts w:cs="Arial"/>
                <w:sz w:val="22"/>
                <w:szCs w:val="22"/>
              </w:rPr>
            </w:pPr>
            <w:r w:rsidRPr="0031652A">
              <w:rPr>
                <w:rFonts w:cs="Arial"/>
                <w:sz w:val="22"/>
                <w:szCs w:val="22"/>
              </w:rPr>
              <w:t>0%</w:t>
            </w:r>
          </w:p>
        </w:tc>
      </w:tr>
      <w:tr w:rsidR="0031652A" w:rsidRPr="0031652A" w:rsidTr="0031652A">
        <w:trPr>
          <w:trHeight w:val="420"/>
        </w:trPr>
        <w:tc>
          <w:tcPr>
            <w:tcW w:w="4280" w:type="dxa"/>
            <w:tcBorders>
              <w:top w:val="nil"/>
              <w:left w:val="single" w:sz="8" w:space="0" w:color="auto"/>
              <w:bottom w:val="single" w:sz="4" w:space="0" w:color="auto"/>
              <w:right w:val="single" w:sz="4" w:space="0" w:color="auto"/>
            </w:tcBorders>
            <w:shd w:val="clear" w:color="000000" w:fill="F2F2F2"/>
            <w:vAlign w:val="bottom"/>
            <w:hideMark/>
          </w:tcPr>
          <w:p w:rsidR="0031652A" w:rsidRPr="0031652A" w:rsidRDefault="0031652A" w:rsidP="0031652A">
            <w:pPr>
              <w:jc w:val="both"/>
              <w:rPr>
                <w:rFonts w:cs="Arial"/>
                <w:szCs w:val="24"/>
              </w:rPr>
            </w:pPr>
            <w:r w:rsidRPr="0031652A">
              <w:rPr>
                <w:rFonts w:cs="Arial"/>
                <w:szCs w:val="24"/>
              </w:rPr>
              <w:t>INVERSION</w:t>
            </w:r>
          </w:p>
        </w:tc>
        <w:tc>
          <w:tcPr>
            <w:tcW w:w="178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sz w:val="22"/>
                <w:szCs w:val="22"/>
              </w:rPr>
            </w:pPr>
            <w:r w:rsidRPr="0031652A">
              <w:rPr>
                <w:rFonts w:cs="Arial"/>
                <w:sz w:val="22"/>
                <w:szCs w:val="22"/>
              </w:rPr>
              <w:t>49,510</w:t>
            </w:r>
          </w:p>
        </w:tc>
        <w:tc>
          <w:tcPr>
            <w:tcW w:w="186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sz w:val="22"/>
                <w:szCs w:val="22"/>
              </w:rPr>
            </w:pPr>
            <w:r w:rsidRPr="0031652A">
              <w:rPr>
                <w:rFonts w:cs="Arial"/>
                <w:sz w:val="22"/>
                <w:szCs w:val="22"/>
              </w:rPr>
              <w:t>41,157</w:t>
            </w:r>
          </w:p>
        </w:tc>
        <w:tc>
          <w:tcPr>
            <w:tcW w:w="1600" w:type="dxa"/>
            <w:tcBorders>
              <w:top w:val="nil"/>
              <w:left w:val="nil"/>
              <w:bottom w:val="single" w:sz="4" w:space="0" w:color="auto"/>
              <w:right w:val="single" w:sz="8" w:space="0" w:color="auto"/>
            </w:tcBorders>
            <w:shd w:val="clear" w:color="000000" w:fill="F2F2F2"/>
            <w:noWrap/>
            <w:vAlign w:val="bottom"/>
            <w:hideMark/>
          </w:tcPr>
          <w:p w:rsidR="0031652A" w:rsidRPr="0031652A" w:rsidRDefault="0031652A" w:rsidP="0031652A">
            <w:pPr>
              <w:jc w:val="center"/>
              <w:rPr>
                <w:rFonts w:cs="Arial"/>
                <w:sz w:val="22"/>
                <w:szCs w:val="22"/>
              </w:rPr>
            </w:pPr>
            <w:r w:rsidRPr="0031652A">
              <w:rPr>
                <w:rFonts w:cs="Arial"/>
                <w:sz w:val="22"/>
                <w:szCs w:val="22"/>
              </w:rPr>
              <w:t>83%</w:t>
            </w:r>
          </w:p>
        </w:tc>
      </w:tr>
      <w:tr w:rsidR="0031652A" w:rsidRPr="0031652A" w:rsidTr="0031652A">
        <w:trPr>
          <w:trHeight w:val="360"/>
        </w:trPr>
        <w:tc>
          <w:tcPr>
            <w:tcW w:w="4280" w:type="dxa"/>
            <w:tcBorders>
              <w:top w:val="nil"/>
              <w:left w:val="single" w:sz="8" w:space="0" w:color="auto"/>
              <w:bottom w:val="single" w:sz="4" w:space="0" w:color="auto"/>
              <w:right w:val="single" w:sz="4" w:space="0" w:color="auto"/>
            </w:tcBorders>
            <w:shd w:val="clear" w:color="000000" w:fill="F2F2F2"/>
            <w:vAlign w:val="bottom"/>
            <w:hideMark/>
          </w:tcPr>
          <w:p w:rsidR="0031652A" w:rsidRPr="0031652A" w:rsidRDefault="0031652A" w:rsidP="0031652A">
            <w:pPr>
              <w:jc w:val="both"/>
              <w:rPr>
                <w:rFonts w:cs="Arial"/>
                <w:b/>
                <w:bCs/>
                <w:szCs w:val="24"/>
              </w:rPr>
            </w:pPr>
            <w:r w:rsidRPr="0031652A">
              <w:rPr>
                <w:rFonts w:cs="Arial"/>
                <w:b/>
                <w:bCs/>
                <w:szCs w:val="24"/>
              </w:rPr>
              <w:t>FONDO EDUCATIVO</w:t>
            </w:r>
          </w:p>
        </w:tc>
        <w:tc>
          <w:tcPr>
            <w:tcW w:w="178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b/>
                <w:bCs/>
                <w:sz w:val="22"/>
                <w:szCs w:val="22"/>
              </w:rPr>
            </w:pPr>
            <w:r w:rsidRPr="0031652A">
              <w:rPr>
                <w:rFonts w:cs="Arial"/>
                <w:b/>
                <w:bCs/>
                <w:sz w:val="22"/>
                <w:szCs w:val="22"/>
              </w:rPr>
              <w:t>7,807</w:t>
            </w:r>
          </w:p>
        </w:tc>
        <w:tc>
          <w:tcPr>
            <w:tcW w:w="186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b/>
                <w:bCs/>
                <w:sz w:val="22"/>
                <w:szCs w:val="22"/>
              </w:rPr>
            </w:pPr>
            <w:r w:rsidRPr="0031652A">
              <w:rPr>
                <w:rFonts w:cs="Arial"/>
                <w:b/>
                <w:bCs/>
                <w:sz w:val="22"/>
                <w:szCs w:val="22"/>
              </w:rPr>
              <w:t>6,398</w:t>
            </w:r>
          </w:p>
        </w:tc>
        <w:tc>
          <w:tcPr>
            <w:tcW w:w="1600" w:type="dxa"/>
            <w:tcBorders>
              <w:top w:val="nil"/>
              <w:left w:val="nil"/>
              <w:bottom w:val="single" w:sz="4" w:space="0" w:color="auto"/>
              <w:right w:val="single" w:sz="8" w:space="0" w:color="auto"/>
            </w:tcBorders>
            <w:shd w:val="clear" w:color="000000" w:fill="F2F2F2"/>
            <w:noWrap/>
            <w:vAlign w:val="bottom"/>
            <w:hideMark/>
          </w:tcPr>
          <w:p w:rsidR="0031652A" w:rsidRPr="0031652A" w:rsidRDefault="0031652A" w:rsidP="0031652A">
            <w:pPr>
              <w:jc w:val="center"/>
              <w:rPr>
                <w:rFonts w:cs="Arial"/>
                <w:b/>
                <w:bCs/>
                <w:sz w:val="22"/>
                <w:szCs w:val="22"/>
              </w:rPr>
            </w:pPr>
            <w:r w:rsidRPr="0031652A">
              <w:rPr>
                <w:rFonts w:cs="Arial"/>
                <w:b/>
                <w:bCs/>
                <w:sz w:val="22"/>
                <w:szCs w:val="22"/>
              </w:rPr>
              <w:t>82%</w:t>
            </w:r>
          </w:p>
        </w:tc>
      </w:tr>
      <w:tr w:rsidR="0031652A" w:rsidRPr="0031652A" w:rsidTr="0031652A">
        <w:trPr>
          <w:trHeight w:val="480"/>
        </w:trPr>
        <w:tc>
          <w:tcPr>
            <w:tcW w:w="4280" w:type="dxa"/>
            <w:tcBorders>
              <w:top w:val="nil"/>
              <w:left w:val="single" w:sz="8" w:space="0" w:color="auto"/>
              <w:bottom w:val="single" w:sz="4" w:space="0" w:color="auto"/>
              <w:right w:val="single" w:sz="4" w:space="0" w:color="auto"/>
            </w:tcBorders>
            <w:shd w:val="clear" w:color="000000" w:fill="F2F2F2"/>
            <w:vAlign w:val="bottom"/>
            <w:hideMark/>
          </w:tcPr>
          <w:p w:rsidR="0031652A" w:rsidRPr="0031652A" w:rsidRDefault="0031652A" w:rsidP="0031652A">
            <w:pPr>
              <w:jc w:val="both"/>
              <w:rPr>
                <w:rFonts w:cs="Arial"/>
                <w:szCs w:val="24"/>
              </w:rPr>
            </w:pPr>
            <w:r w:rsidRPr="0031652A">
              <w:rPr>
                <w:rFonts w:cs="Arial"/>
                <w:szCs w:val="24"/>
              </w:rPr>
              <w:t>INVERSION</w:t>
            </w:r>
          </w:p>
        </w:tc>
        <w:tc>
          <w:tcPr>
            <w:tcW w:w="178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sz w:val="22"/>
                <w:szCs w:val="22"/>
              </w:rPr>
            </w:pPr>
            <w:r w:rsidRPr="0031652A">
              <w:rPr>
                <w:rFonts w:cs="Arial"/>
                <w:sz w:val="22"/>
                <w:szCs w:val="22"/>
              </w:rPr>
              <w:t>7,807</w:t>
            </w:r>
          </w:p>
        </w:tc>
        <w:tc>
          <w:tcPr>
            <w:tcW w:w="186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sz w:val="22"/>
                <w:szCs w:val="22"/>
              </w:rPr>
            </w:pPr>
            <w:r w:rsidRPr="0031652A">
              <w:rPr>
                <w:rFonts w:cs="Arial"/>
                <w:sz w:val="22"/>
                <w:szCs w:val="22"/>
              </w:rPr>
              <w:t>6,398</w:t>
            </w:r>
          </w:p>
        </w:tc>
        <w:tc>
          <w:tcPr>
            <w:tcW w:w="1600" w:type="dxa"/>
            <w:tcBorders>
              <w:top w:val="nil"/>
              <w:left w:val="nil"/>
              <w:bottom w:val="single" w:sz="4" w:space="0" w:color="auto"/>
              <w:right w:val="single" w:sz="8" w:space="0" w:color="auto"/>
            </w:tcBorders>
            <w:shd w:val="clear" w:color="000000" w:fill="F2F2F2"/>
            <w:noWrap/>
            <w:vAlign w:val="bottom"/>
            <w:hideMark/>
          </w:tcPr>
          <w:p w:rsidR="0031652A" w:rsidRPr="0031652A" w:rsidRDefault="0031652A" w:rsidP="0031652A">
            <w:pPr>
              <w:jc w:val="center"/>
              <w:rPr>
                <w:rFonts w:cs="Arial"/>
                <w:sz w:val="22"/>
                <w:szCs w:val="22"/>
              </w:rPr>
            </w:pPr>
            <w:r w:rsidRPr="0031652A">
              <w:rPr>
                <w:rFonts w:cs="Arial"/>
                <w:sz w:val="22"/>
                <w:szCs w:val="22"/>
              </w:rPr>
              <w:t>82%</w:t>
            </w:r>
          </w:p>
        </w:tc>
      </w:tr>
      <w:tr w:rsidR="0031652A" w:rsidRPr="0031652A" w:rsidTr="0031652A">
        <w:trPr>
          <w:trHeight w:val="405"/>
        </w:trPr>
        <w:tc>
          <w:tcPr>
            <w:tcW w:w="4280" w:type="dxa"/>
            <w:tcBorders>
              <w:top w:val="nil"/>
              <w:left w:val="single" w:sz="8" w:space="0" w:color="auto"/>
              <w:bottom w:val="single" w:sz="4" w:space="0" w:color="auto"/>
              <w:right w:val="single" w:sz="4" w:space="0" w:color="auto"/>
            </w:tcBorders>
            <w:shd w:val="clear" w:color="000000" w:fill="F2F2F2"/>
            <w:vAlign w:val="bottom"/>
            <w:hideMark/>
          </w:tcPr>
          <w:p w:rsidR="0031652A" w:rsidRPr="0031652A" w:rsidRDefault="0031652A" w:rsidP="0031652A">
            <w:pPr>
              <w:jc w:val="both"/>
              <w:rPr>
                <w:rFonts w:cs="Arial"/>
                <w:b/>
                <w:bCs/>
                <w:szCs w:val="24"/>
              </w:rPr>
            </w:pPr>
            <w:r w:rsidRPr="0031652A">
              <w:rPr>
                <w:rFonts w:cs="Arial"/>
                <w:b/>
                <w:bCs/>
                <w:szCs w:val="24"/>
              </w:rPr>
              <w:t>FONDO SALUD</w:t>
            </w:r>
          </w:p>
        </w:tc>
        <w:tc>
          <w:tcPr>
            <w:tcW w:w="178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b/>
                <w:bCs/>
                <w:sz w:val="22"/>
                <w:szCs w:val="22"/>
              </w:rPr>
            </w:pPr>
            <w:r w:rsidRPr="0031652A">
              <w:rPr>
                <w:rFonts w:cs="Arial"/>
                <w:b/>
                <w:bCs/>
                <w:sz w:val="22"/>
                <w:szCs w:val="22"/>
              </w:rPr>
              <w:t>14,311</w:t>
            </w:r>
          </w:p>
        </w:tc>
        <w:tc>
          <w:tcPr>
            <w:tcW w:w="186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b/>
                <w:bCs/>
                <w:sz w:val="22"/>
                <w:szCs w:val="22"/>
              </w:rPr>
            </w:pPr>
            <w:r w:rsidRPr="0031652A">
              <w:rPr>
                <w:rFonts w:cs="Arial"/>
                <w:b/>
                <w:bCs/>
                <w:sz w:val="22"/>
                <w:szCs w:val="22"/>
              </w:rPr>
              <w:t>12,319</w:t>
            </w:r>
          </w:p>
        </w:tc>
        <w:tc>
          <w:tcPr>
            <w:tcW w:w="1600" w:type="dxa"/>
            <w:tcBorders>
              <w:top w:val="nil"/>
              <w:left w:val="nil"/>
              <w:bottom w:val="single" w:sz="4" w:space="0" w:color="auto"/>
              <w:right w:val="single" w:sz="8" w:space="0" w:color="auto"/>
            </w:tcBorders>
            <w:shd w:val="clear" w:color="000000" w:fill="F2F2F2"/>
            <w:noWrap/>
            <w:vAlign w:val="bottom"/>
            <w:hideMark/>
          </w:tcPr>
          <w:p w:rsidR="0031652A" w:rsidRPr="0031652A" w:rsidRDefault="0031652A" w:rsidP="0031652A">
            <w:pPr>
              <w:jc w:val="center"/>
              <w:rPr>
                <w:rFonts w:cs="Arial"/>
                <w:b/>
                <w:bCs/>
                <w:sz w:val="22"/>
                <w:szCs w:val="22"/>
              </w:rPr>
            </w:pPr>
            <w:r w:rsidRPr="0031652A">
              <w:rPr>
                <w:rFonts w:cs="Arial"/>
                <w:b/>
                <w:bCs/>
                <w:sz w:val="22"/>
                <w:szCs w:val="22"/>
              </w:rPr>
              <w:t>86%</w:t>
            </w:r>
          </w:p>
        </w:tc>
      </w:tr>
      <w:tr w:rsidR="0031652A" w:rsidRPr="0031652A" w:rsidTr="0031652A">
        <w:trPr>
          <w:trHeight w:val="390"/>
        </w:trPr>
        <w:tc>
          <w:tcPr>
            <w:tcW w:w="4280" w:type="dxa"/>
            <w:tcBorders>
              <w:top w:val="nil"/>
              <w:left w:val="single" w:sz="8" w:space="0" w:color="auto"/>
              <w:bottom w:val="single" w:sz="4" w:space="0" w:color="auto"/>
              <w:right w:val="single" w:sz="4" w:space="0" w:color="auto"/>
            </w:tcBorders>
            <w:shd w:val="clear" w:color="000000" w:fill="F2F2F2"/>
            <w:vAlign w:val="bottom"/>
            <w:hideMark/>
          </w:tcPr>
          <w:p w:rsidR="0031652A" w:rsidRPr="0031652A" w:rsidRDefault="0031652A" w:rsidP="0031652A">
            <w:pPr>
              <w:jc w:val="both"/>
              <w:rPr>
                <w:rFonts w:cs="Arial"/>
                <w:szCs w:val="24"/>
              </w:rPr>
            </w:pPr>
            <w:r w:rsidRPr="0031652A">
              <w:rPr>
                <w:rFonts w:cs="Arial"/>
                <w:szCs w:val="24"/>
              </w:rPr>
              <w:t>FUNCIONAMIENTO</w:t>
            </w:r>
          </w:p>
        </w:tc>
        <w:tc>
          <w:tcPr>
            <w:tcW w:w="178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sz w:val="22"/>
                <w:szCs w:val="22"/>
              </w:rPr>
            </w:pPr>
            <w:r w:rsidRPr="0031652A">
              <w:rPr>
                <w:rFonts w:cs="Arial"/>
                <w:sz w:val="22"/>
                <w:szCs w:val="22"/>
              </w:rPr>
              <w:t>643</w:t>
            </w:r>
          </w:p>
        </w:tc>
        <w:tc>
          <w:tcPr>
            <w:tcW w:w="186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sz w:val="22"/>
                <w:szCs w:val="22"/>
              </w:rPr>
            </w:pPr>
            <w:r w:rsidRPr="0031652A">
              <w:rPr>
                <w:rFonts w:cs="Arial"/>
                <w:sz w:val="22"/>
                <w:szCs w:val="22"/>
              </w:rPr>
              <w:t>555</w:t>
            </w:r>
          </w:p>
        </w:tc>
        <w:tc>
          <w:tcPr>
            <w:tcW w:w="1600" w:type="dxa"/>
            <w:tcBorders>
              <w:top w:val="nil"/>
              <w:left w:val="nil"/>
              <w:bottom w:val="single" w:sz="4" w:space="0" w:color="auto"/>
              <w:right w:val="single" w:sz="8" w:space="0" w:color="auto"/>
            </w:tcBorders>
            <w:shd w:val="clear" w:color="000000" w:fill="F2F2F2"/>
            <w:noWrap/>
            <w:vAlign w:val="bottom"/>
            <w:hideMark/>
          </w:tcPr>
          <w:p w:rsidR="0031652A" w:rsidRPr="0031652A" w:rsidRDefault="0031652A" w:rsidP="0031652A">
            <w:pPr>
              <w:jc w:val="center"/>
              <w:rPr>
                <w:rFonts w:cs="Arial"/>
                <w:sz w:val="22"/>
                <w:szCs w:val="22"/>
              </w:rPr>
            </w:pPr>
            <w:r w:rsidRPr="0031652A">
              <w:rPr>
                <w:rFonts w:cs="Arial"/>
                <w:sz w:val="22"/>
                <w:szCs w:val="22"/>
              </w:rPr>
              <w:t>86%</w:t>
            </w:r>
          </w:p>
        </w:tc>
      </w:tr>
      <w:tr w:rsidR="0031652A" w:rsidRPr="0031652A" w:rsidTr="0031652A">
        <w:trPr>
          <w:trHeight w:val="375"/>
        </w:trPr>
        <w:tc>
          <w:tcPr>
            <w:tcW w:w="4280" w:type="dxa"/>
            <w:tcBorders>
              <w:top w:val="nil"/>
              <w:left w:val="single" w:sz="8" w:space="0" w:color="auto"/>
              <w:bottom w:val="single" w:sz="4" w:space="0" w:color="auto"/>
              <w:right w:val="single" w:sz="4" w:space="0" w:color="auto"/>
            </w:tcBorders>
            <w:shd w:val="clear" w:color="000000" w:fill="F2F2F2"/>
            <w:vAlign w:val="bottom"/>
            <w:hideMark/>
          </w:tcPr>
          <w:p w:rsidR="0031652A" w:rsidRPr="0031652A" w:rsidRDefault="0031652A" w:rsidP="0031652A">
            <w:pPr>
              <w:jc w:val="both"/>
              <w:rPr>
                <w:rFonts w:cs="Arial"/>
                <w:szCs w:val="24"/>
              </w:rPr>
            </w:pPr>
            <w:r w:rsidRPr="0031652A">
              <w:rPr>
                <w:rFonts w:cs="Arial"/>
                <w:szCs w:val="24"/>
              </w:rPr>
              <w:t>INVERSION</w:t>
            </w:r>
          </w:p>
        </w:tc>
        <w:tc>
          <w:tcPr>
            <w:tcW w:w="178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sz w:val="22"/>
                <w:szCs w:val="22"/>
              </w:rPr>
            </w:pPr>
            <w:r w:rsidRPr="0031652A">
              <w:rPr>
                <w:rFonts w:cs="Arial"/>
                <w:sz w:val="22"/>
                <w:szCs w:val="22"/>
              </w:rPr>
              <w:t>13,668</w:t>
            </w:r>
          </w:p>
        </w:tc>
        <w:tc>
          <w:tcPr>
            <w:tcW w:w="1860" w:type="dxa"/>
            <w:tcBorders>
              <w:top w:val="nil"/>
              <w:left w:val="nil"/>
              <w:bottom w:val="single" w:sz="4" w:space="0" w:color="auto"/>
              <w:right w:val="single" w:sz="4" w:space="0" w:color="auto"/>
            </w:tcBorders>
            <w:shd w:val="clear" w:color="000000" w:fill="F2F2F2"/>
            <w:noWrap/>
            <w:vAlign w:val="bottom"/>
            <w:hideMark/>
          </w:tcPr>
          <w:p w:rsidR="0031652A" w:rsidRPr="0031652A" w:rsidRDefault="0031652A" w:rsidP="0031652A">
            <w:pPr>
              <w:jc w:val="right"/>
              <w:rPr>
                <w:rFonts w:cs="Arial"/>
                <w:sz w:val="22"/>
                <w:szCs w:val="22"/>
              </w:rPr>
            </w:pPr>
            <w:r w:rsidRPr="0031652A">
              <w:rPr>
                <w:rFonts w:cs="Arial"/>
                <w:sz w:val="22"/>
                <w:szCs w:val="22"/>
              </w:rPr>
              <w:t>11,764</w:t>
            </w:r>
          </w:p>
        </w:tc>
        <w:tc>
          <w:tcPr>
            <w:tcW w:w="1600" w:type="dxa"/>
            <w:tcBorders>
              <w:top w:val="nil"/>
              <w:left w:val="nil"/>
              <w:bottom w:val="single" w:sz="4" w:space="0" w:color="auto"/>
              <w:right w:val="single" w:sz="8" w:space="0" w:color="auto"/>
            </w:tcBorders>
            <w:shd w:val="clear" w:color="000000" w:fill="F2F2F2"/>
            <w:noWrap/>
            <w:vAlign w:val="bottom"/>
            <w:hideMark/>
          </w:tcPr>
          <w:p w:rsidR="0031652A" w:rsidRPr="0031652A" w:rsidRDefault="0031652A" w:rsidP="0031652A">
            <w:pPr>
              <w:jc w:val="center"/>
              <w:rPr>
                <w:rFonts w:cs="Arial"/>
                <w:sz w:val="22"/>
                <w:szCs w:val="22"/>
              </w:rPr>
            </w:pPr>
            <w:r w:rsidRPr="0031652A">
              <w:rPr>
                <w:rFonts w:cs="Arial"/>
                <w:sz w:val="22"/>
                <w:szCs w:val="22"/>
              </w:rPr>
              <w:t>86%</w:t>
            </w:r>
          </w:p>
        </w:tc>
      </w:tr>
      <w:tr w:rsidR="0031652A" w:rsidRPr="0031652A" w:rsidTr="0031652A">
        <w:trPr>
          <w:trHeight w:val="450"/>
        </w:trPr>
        <w:tc>
          <w:tcPr>
            <w:tcW w:w="4280" w:type="dxa"/>
            <w:tcBorders>
              <w:top w:val="nil"/>
              <w:left w:val="single" w:sz="8" w:space="0" w:color="auto"/>
              <w:bottom w:val="nil"/>
              <w:right w:val="single" w:sz="4" w:space="0" w:color="auto"/>
            </w:tcBorders>
            <w:shd w:val="clear" w:color="000000" w:fill="F2F2F2"/>
            <w:vAlign w:val="bottom"/>
            <w:hideMark/>
          </w:tcPr>
          <w:p w:rsidR="0031652A" w:rsidRPr="0031652A" w:rsidRDefault="0031652A" w:rsidP="0031652A">
            <w:pPr>
              <w:jc w:val="both"/>
              <w:rPr>
                <w:rFonts w:cs="Arial"/>
                <w:b/>
                <w:bCs/>
                <w:szCs w:val="24"/>
              </w:rPr>
            </w:pPr>
            <w:r w:rsidRPr="0031652A">
              <w:rPr>
                <w:rFonts w:cs="Arial"/>
                <w:b/>
                <w:bCs/>
                <w:szCs w:val="24"/>
              </w:rPr>
              <w:t>RENTAS ADMINISTRADAS</w:t>
            </w:r>
          </w:p>
        </w:tc>
        <w:tc>
          <w:tcPr>
            <w:tcW w:w="1780" w:type="dxa"/>
            <w:tcBorders>
              <w:top w:val="nil"/>
              <w:left w:val="nil"/>
              <w:bottom w:val="nil"/>
              <w:right w:val="single" w:sz="4" w:space="0" w:color="auto"/>
            </w:tcBorders>
            <w:shd w:val="clear" w:color="000000" w:fill="F2F2F2"/>
            <w:noWrap/>
            <w:vAlign w:val="bottom"/>
            <w:hideMark/>
          </w:tcPr>
          <w:p w:rsidR="0031652A" w:rsidRPr="0031652A" w:rsidRDefault="0031652A" w:rsidP="0031652A">
            <w:pPr>
              <w:jc w:val="right"/>
              <w:rPr>
                <w:rFonts w:cs="Arial"/>
                <w:b/>
                <w:bCs/>
                <w:sz w:val="22"/>
                <w:szCs w:val="22"/>
              </w:rPr>
            </w:pPr>
            <w:r w:rsidRPr="0031652A">
              <w:rPr>
                <w:rFonts w:cs="Arial"/>
                <w:b/>
                <w:bCs/>
                <w:sz w:val="22"/>
                <w:szCs w:val="22"/>
              </w:rPr>
              <w:t>0</w:t>
            </w:r>
          </w:p>
        </w:tc>
        <w:tc>
          <w:tcPr>
            <w:tcW w:w="1860" w:type="dxa"/>
            <w:tcBorders>
              <w:top w:val="nil"/>
              <w:left w:val="nil"/>
              <w:bottom w:val="nil"/>
              <w:right w:val="single" w:sz="4" w:space="0" w:color="auto"/>
            </w:tcBorders>
            <w:shd w:val="clear" w:color="000000" w:fill="F2F2F2"/>
            <w:noWrap/>
            <w:vAlign w:val="bottom"/>
            <w:hideMark/>
          </w:tcPr>
          <w:p w:rsidR="0031652A" w:rsidRPr="0031652A" w:rsidRDefault="0031652A" w:rsidP="0031652A">
            <w:pPr>
              <w:jc w:val="right"/>
              <w:rPr>
                <w:rFonts w:cs="Arial"/>
                <w:b/>
                <w:bCs/>
                <w:sz w:val="22"/>
                <w:szCs w:val="22"/>
              </w:rPr>
            </w:pPr>
            <w:r w:rsidRPr="0031652A">
              <w:rPr>
                <w:rFonts w:cs="Arial"/>
                <w:b/>
                <w:bCs/>
                <w:sz w:val="22"/>
                <w:szCs w:val="22"/>
              </w:rPr>
              <w:t>0</w:t>
            </w:r>
          </w:p>
        </w:tc>
        <w:tc>
          <w:tcPr>
            <w:tcW w:w="1600" w:type="dxa"/>
            <w:tcBorders>
              <w:top w:val="nil"/>
              <w:left w:val="nil"/>
              <w:bottom w:val="single" w:sz="4" w:space="0" w:color="auto"/>
              <w:right w:val="single" w:sz="8" w:space="0" w:color="auto"/>
            </w:tcBorders>
            <w:shd w:val="clear" w:color="000000" w:fill="F2F2F2"/>
            <w:noWrap/>
            <w:vAlign w:val="bottom"/>
            <w:hideMark/>
          </w:tcPr>
          <w:p w:rsidR="0031652A" w:rsidRPr="0031652A" w:rsidRDefault="0031652A" w:rsidP="0031652A">
            <w:pPr>
              <w:jc w:val="center"/>
              <w:rPr>
                <w:rFonts w:cs="Arial"/>
                <w:b/>
                <w:bCs/>
                <w:sz w:val="22"/>
                <w:szCs w:val="22"/>
              </w:rPr>
            </w:pPr>
            <w:r w:rsidRPr="0031652A">
              <w:rPr>
                <w:rFonts w:cs="Arial"/>
                <w:b/>
                <w:bCs/>
                <w:sz w:val="22"/>
                <w:szCs w:val="22"/>
              </w:rPr>
              <w:t>0%</w:t>
            </w:r>
          </w:p>
        </w:tc>
      </w:tr>
      <w:tr w:rsidR="0031652A" w:rsidRPr="0031652A" w:rsidTr="0031652A">
        <w:trPr>
          <w:trHeight w:val="330"/>
        </w:trPr>
        <w:tc>
          <w:tcPr>
            <w:tcW w:w="4280" w:type="dxa"/>
            <w:tcBorders>
              <w:top w:val="single" w:sz="8" w:space="0" w:color="auto"/>
              <w:left w:val="single" w:sz="8" w:space="0" w:color="auto"/>
              <w:bottom w:val="single" w:sz="8" w:space="0" w:color="auto"/>
              <w:right w:val="single" w:sz="4" w:space="0" w:color="auto"/>
            </w:tcBorders>
            <w:shd w:val="clear" w:color="000000" w:fill="990033"/>
            <w:noWrap/>
            <w:vAlign w:val="bottom"/>
            <w:hideMark/>
          </w:tcPr>
          <w:p w:rsidR="0031652A" w:rsidRPr="0031652A" w:rsidRDefault="0031652A" w:rsidP="0031652A">
            <w:pPr>
              <w:rPr>
                <w:rFonts w:cs="Arial"/>
                <w:b/>
                <w:bCs/>
                <w:color w:val="FFFFFF"/>
                <w:szCs w:val="24"/>
              </w:rPr>
            </w:pPr>
            <w:r w:rsidRPr="0031652A">
              <w:rPr>
                <w:rFonts w:cs="Arial"/>
                <w:b/>
                <w:bCs/>
                <w:color w:val="FFFFFF"/>
                <w:szCs w:val="24"/>
              </w:rPr>
              <w:t>TOTAL</w:t>
            </w:r>
          </w:p>
        </w:tc>
        <w:tc>
          <w:tcPr>
            <w:tcW w:w="1780" w:type="dxa"/>
            <w:tcBorders>
              <w:top w:val="single" w:sz="8" w:space="0" w:color="auto"/>
              <w:left w:val="nil"/>
              <w:bottom w:val="single" w:sz="8" w:space="0" w:color="auto"/>
              <w:right w:val="single" w:sz="4" w:space="0" w:color="auto"/>
            </w:tcBorders>
            <w:shd w:val="clear" w:color="000000" w:fill="990033"/>
            <w:noWrap/>
            <w:vAlign w:val="bottom"/>
            <w:hideMark/>
          </w:tcPr>
          <w:p w:rsidR="0031652A" w:rsidRPr="0031652A" w:rsidRDefault="0031652A" w:rsidP="0031652A">
            <w:pPr>
              <w:jc w:val="right"/>
              <w:rPr>
                <w:rFonts w:cs="Arial"/>
                <w:b/>
                <w:bCs/>
                <w:color w:val="FFFFFF"/>
                <w:sz w:val="22"/>
                <w:szCs w:val="22"/>
              </w:rPr>
            </w:pPr>
            <w:r w:rsidRPr="0031652A">
              <w:rPr>
                <w:rFonts w:cs="Arial"/>
                <w:b/>
                <w:bCs/>
                <w:color w:val="FFFFFF"/>
                <w:sz w:val="22"/>
                <w:szCs w:val="22"/>
              </w:rPr>
              <w:t>72,569</w:t>
            </w:r>
          </w:p>
        </w:tc>
        <w:tc>
          <w:tcPr>
            <w:tcW w:w="1860" w:type="dxa"/>
            <w:tcBorders>
              <w:top w:val="single" w:sz="8" w:space="0" w:color="auto"/>
              <w:left w:val="nil"/>
              <w:bottom w:val="single" w:sz="8" w:space="0" w:color="auto"/>
              <w:right w:val="single" w:sz="4" w:space="0" w:color="auto"/>
            </w:tcBorders>
            <w:shd w:val="clear" w:color="000000" w:fill="990033"/>
            <w:noWrap/>
            <w:vAlign w:val="bottom"/>
            <w:hideMark/>
          </w:tcPr>
          <w:p w:rsidR="0031652A" w:rsidRPr="0031652A" w:rsidRDefault="0031652A" w:rsidP="0031652A">
            <w:pPr>
              <w:jc w:val="right"/>
              <w:rPr>
                <w:rFonts w:cs="Arial"/>
                <w:b/>
                <w:bCs/>
                <w:color w:val="FFFFFF"/>
                <w:sz w:val="22"/>
                <w:szCs w:val="22"/>
              </w:rPr>
            </w:pPr>
            <w:r w:rsidRPr="0031652A">
              <w:rPr>
                <w:rFonts w:cs="Arial"/>
                <w:b/>
                <w:bCs/>
                <w:color w:val="FFFFFF"/>
                <w:sz w:val="22"/>
                <w:szCs w:val="22"/>
              </w:rPr>
              <w:t>60,747</w:t>
            </w:r>
          </w:p>
        </w:tc>
        <w:tc>
          <w:tcPr>
            <w:tcW w:w="1600" w:type="dxa"/>
            <w:tcBorders>
              <w:top w:val="single" w:sz="8" w:space="0" w:color="auto"/>
              <w:left w:val="nil"/>
              <w:bottom w:val="single" w:sz="8" w:space="0" w:color="auto"/>
              <w:right w:val="single" w:sz="8" w:space="0" w:color="auto"/>
            </w:tcBorders>
            <w:shd w:val="clear" w:color="000000" w:fill="990033"/>
            <w:noWrap/>
            <w:vAlign w:val="bottom"/>
            <w:hideMark/>
          </w:tcPr>
          <w:p w:rsidR="0031652A" w:rsidRPr="0031652A" w:rsidRDefault="0031652A" w:rsidP="0031652A">
            <w:pPr>
              <w:jc w:val="center"/>
              <w:rPr>
                <w:rFonts w:cs="Arial"/>
                <w:b/>
                <w:bCs/>
                <w:color w:val="FFFFFF"/>
                <w:sz w:val="22"/>
                <w:szCs w:val="22"/>
              </w:rPr>
            </w:pPr>
            <w:r w:rsidRPr="0031652A">
              <w:rPr>
                <w:rFonts w:cs="Arial"/>
                <w:b/>
                <w:bCs/>
                <w:color w:val="FFFFFF"/>
                <w:sz w:val="22"/>
                <w:szCs w:val="22"/>
              </w:rPr>
              <w:t>84%</w:t>
            </w:r>
          </w:p>
        </w:tc>
      </w:tr>
    </w:tbl>
    <w:p w:rsidR="00A045F9" w:rsidRDefault="00A045F9" w:rsidP="00A045F9">
      <w:pPr>
        <w:jc w:val="center"/>
        <w:rPr>
          <w:rFonts w:cs="Arial"/>
          <w:szCs w:val="24"/>
        </w:rPr>
      </w:pPr>
    </w:p>
    <w:p w:rsidR="00A045F9" w:rsidRPr="0042501F" w:rsidRDefault="00A045F9" w:rsidP="00A045F9">
      <w:pPr>
        <w:jc w:val="both"/>
        <w:rPr>
          <w:rFonts w:cs="Arial"/>
          <w:sz w:val="22"/>
          <w:szCs w:val="22"/>
        </w:rPr>
      </w:pPr>
    </w:p>
    <w:p w:rsidR="005C3F96" w:rsidRPr="0042501F" w:rsidRDefault="008A03B9" w:rsidP="005C3F96">
      <w:pPr>
        <w:jc w:val="both"/>
        <w:rPr>
          <w:rFonts w:cs="Arial"/>
          <w:sz w:val="22"/>
          <w:szCs w:val="22"/>
        </w:rPr>
      </w:pPr>
      <w:r w:rsidRPr="0042501F">
        <w:rPr>
          <w:rFonts w:cs="Arial"/>
          <w:sz w:val="22"/>
          <w:szCs w:val="22"/>
        </w:rPr>
        <w:t xml:space="preserve">Con el propósito de evitar que las Reservas Presupuestales, se conviertan en pasivos exigibles posteriormente, se continua con la labor de informar y entregar al cierre de cada </w:t>
      </w:r>
      <w:r w:rsidR="009C4D10" w:rsidRPr="0042501F">
        <w:rPr>
          <w:rFonts w:cs="Arial"/>
          <w:sz w:val="22"/>
          <w:szCs w:val="22"/>
        </w:rPr>
        <w:t xml:space="preserve">mes, </w:t>
      </w:r>
      <w:r w:rsidRPr="0042501F">
        <w:rPr>
          <w:rFonts w:cs="Arial"/>
          <w:sz w:val="22"/>
          <w:szCs w:val="22"/>
        </w:rPr>
        <w:t>el estado de la ejecución de la reservas a cada una de las Secretarias ejecutor</w:t>
      </w:r>
      <w:r w:rsidR="009C4D10" w:rsidRPr="0042501F">
        <w:rPr>
          <w:rFonts w:cs="Arial"/>
          <w:sz w:val="22"/>
          <w:szCs w:val="22"/>
        </w:rPr>
        <w:t xml:space="preserve">as. </w:t>
      </w:r>
      <w:r w:rsidR="005C3F96" w:rsidRPr="0042501F">
        <w:rPr>
          <w:rFonts w:cs="Arial"/>
          <w:sz w:val="22"/>
          <w:szCs w:val="22"/>
        </w:rPr>
        <w:t>Como re</w:t>
      </w:r>
      <w:r w:rsidR="009C4D10" w:rsidRPr="0042501F">
        <w:rPr>
          <w:rFonts w:cs="Arial"/>
          <w:sz w:val="22"/>
          <w:szCs w:val="22"/>
        </w:rPr>
        <w:t xml:space="preserve">sultado del proceso efectuado, </w:t>
      </w:r>
      <w:r w:rsidR="005C3F96" w:rsidRPr="0042501F">
        <w:rPr>
          <w:rFonts w:cs="Arial"/>
          <w:sz w:val="22"/>
          <w:szCs w:val="22"/>
        </w:rPr>
        <w:t xml:space="preserve">acciones </w:t>
      </w:r>
      <w:r w:rsidR="009C4D10" w:rsidRPr="0042501F">
        <w:rPr>
          <w:rFonts w:cs="Arial"/>
          <w:sz w:val="22"/>
          <w:szCs w:val="22"/>
        </w:rPr>
        <w:t>realizadas y al seguim</w:t>
      </w:r>
      <w:r w:rsidR="00252A26" w:rsidRPr="0042501F">
        <w:rPr>
          <w:rFonts w:cs="Arial"/>
          <w:sz w:val="22"/>
          <w:szCs w:val="22"/>
        </w:rPr>
        <w:t>ient</w:t>
      </w:r>
      <w:r w:rsidR="00AD2D27">
        <w:rPr>
          <w:rFonts w:cs="Arial"/>
          <w:sz w:val="22"/>
          <w:szCs w:val="22"/>
        </w:rPr>
        <w:t xml:space="preserve">o constante, al 30 de Noviembre </w:t>
      </w:r>
      <w:r w:rsidR="008500C1" w:rsidRPr="0042501F">
        <w:rPr>
          <w:rFonts w:cs="Arial"/>
          <w:sz w:val="22"/>
          <w:szCs w:val="22"/>
        </w:rPr>
        <w:t xml:space="preserve"> </w:t>
      </w:r>
      <w:r w:rsidR="005C3F96" w:rsidRPr="0042501F">
        <w:rPr>
          <w:rFonts w:cs="Arial"/>
          <w:sz w:val="22"/>
          <w:szCs w:val="22"/>
        </w:rPr>
        <w:t xml:space="preserve"> de 2019,</w:t>
      </w:r>
      <w:r w:rsidR="00AD2D27">
        <w:rPr>
          <w:rFonts w:cs="Arial"/>
          <w:sz w:val="22"/>
          <w:szCs w:val="22"/>
        </w:rPr>
        <w:t xml:space="preserve"> se refleja una ejecución del 84</w:t>
      </w:r>
      <w:r w:rsidR="009C4D10" w:rsidRPr="0042501F">
        <w:rPr>
          <w:rFonts w:cs="Arial"/>
          <w:sz w:val="22"/>
          <w:szCs w:val="22"/>
        </w:rPr>
        <w:t>%.</w:t>
      </w:r>
    </w:p>
    <w:p w:rsidR="008D650E" w:rsidRDefault="008D650E" w:rsidP="00055575">
      <w:pPr>
        <w:jc w:val="both"/>
        <w:rPr>
          <w:rFonts w:cs="Arial"/>
          <w:color w:val="000000"/>
          <w:sz w:val="22"/>
          <w:szCs w:val="22"/>
        </w:rPr>
      </w:pPr>
    </w:p>
    <w:p w:rsidR="00D365E9" w:rsidRPr="00EB7255" w:rsidRDefault="00D365E9" w:rsidP="00D365E9">
      <w:pPr>
        <w:jc w:val="both"/>
        <w:rPr>
          <w:rFonts w:ascii="Arial Narrow" w:hAnsi="Arial Narrow" w:cs="Arial"/>
          <w:snapToGrid w:val="0"/>
          <w:szCs w:val="24"/>
          <w:lang w:val="es-ES_tradnl"/>
        </w:rPr>
      </w:pPr>
    </w:p>
    <w:sectPr w:rsidR="00D365E9" w:rsidRPr="00EB7255" w:rsidSect="007E5AF8">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33E58"/>
    <w:multiLevelType w:val="hybridMultilevel"/>
    <w:tmpl w:val="DA92D562"/>
    <w:lvl w:ilvl="0" w:tplc="CF52FB9A">
      <w:start w:val="1"/>
      <w:numFmt w:val="bullet"/>
      <w:lvlText w:val=""/>
      <w:lvlJc w:val="left"/>
      <w:pPr>
        <w:tabs>
          <w:tab w:val="num" w:pos="720"/>
        </w:tabs>
        <w:ind w:left="720" w:hanging="360"/>
      </w:pPr>
      <w:rPr>
        <w:rFonts w:ascii="Wingdings" w:hAnsi="Wingdings" w:hint="default"/>
      </w:rPr>
    </w:lvl>
    <w:lvl w:ilvl="1" w:tplc="FF10BC50" w:tentative="1">
      <w:start w:val="1"/>
      <w:numFmt w:val="bullet"/>
      <w:lvlText w:val=""/>
      <w:lvlJc w:val="left"/>
      <w:pPr>
        <w:tabs>
          <w:tab w:val="num" w:pos="1440"/>
        </w:tabs>
        <w:ind w:left="1440" w:hanging="360"/>
      </w:pPr>
      <w:rPr>
        <w:rFonts w:ascii="Wingdings" w:hAnsi="Wingdings" w:hint="default"/>
      </w:rPr>
    </w:lvl>
    <w:lvl w:ilvl="2" w:tplc="D122A096" w:tentative="1">
      <w:start w:val="1"/>
      <w:numFmt w:val="bullet"/>
      <w:lvlText w:val=""/>
      <w:lvlJc w:val="left"/>
      <w:pPr>
        <w:tabs>
          <w:tab w:val="num" w:pos="2160"/>
        </w:tabs>
        <w:ind w:left="2160" w:hanging="360"/>
      </w:pPr>
      <w:rPr>
        <w:rFonts w:ascii="Wingdings" w:hAnsi="Wingdings" w:hint="default"/>
      </w:rPr>
    </w:lvl>
    <w:lvl w:ilvl="3" w:tplc="2C426F8E" w:tentative="1">
      <w:start w:val="1"/>
      <w:numFmt w:val="bullet"/>
      <w:lvlText w:val=""/>
      <w:lvlJc w:val="left"/>
      <w:pPr>
        <w:tabs>
          <w:tab w:val="num" w:pos="2880"/>
        </w:tabs>
        <w:ind w:left="2880" w:hanging="360"/>
      </w:pPr>
      <w:rPr>
        <w:rFonts w:ascii="Wingdings" w:hAnsi="Wingdings" w:hint="default"/>
      </w:rPr>
    </w:lvl>
    <w:lvl w:ilvl="4" w:tplc="305823AE" w:tentative="1">
      <w:start w:val="1"/>
      <w:numFmt w:val="bullet"/>
      <w:lvlText w:val=""/>
      <w:lvlJc w:val="left"/>
      <w:pPr>
        <w:tabs>
          <w:tab w:val="num" w:pos="3600"/>
        </w:tabs>
        <w:ind w:left="3600" w:hanging="360"/>
      </w:pPr>
      <w:rPr>
        <w:rFonts w:ascii="Wingdings" w:hAnsi="Wingdings" w:hint="default"/>
      </w:rPr>
    </w:lvl>
    <w:lvl w:ilvl="5" w:tplc="15D26000" w:tentative="1">
      <w:start w:val="1"/>
      <w:numFmt w:val="bullet"/>
      <w:lvlText w:val=""/>
      <w:lvlJc w:val="left"/>
      <w:pPr>
        <w:tabs>
          <w:tab w:val="num" w:pos="4320"/>
        </w:tabs>
        <w:ind w:left="4320" w:hanging="360"/>
      </w:pPr>
      <w:rPr>
        <w:rFonts w:ascii="Wingdings" w:hAnsi="Wingdings" w:hint="default"/>
      </w:rPr>
    </w:lvl>
    <w:lvl w:ilvl="6" w:tplc="55528EE4" w:tentative="1">
      <w:start w:val="1"/>
      <w:numFmt w:val="bullet"/>
      <w:lvlText w:val=""/>
      <w:lvlJc w:val="left"/>
      <w:pPr>
        <w:tabs>
          <w:tab w:val="num" w:pos="5040"/>
        </w:tabs>
        <w:ind w:left="5040" w:hanging="360"/>
      </w:pPr>
      <w:rPr>
        <w:rFonts w:ascii="Wingdings" w:hAnsi="Wingdings" w:hint="default"/>
      </w:rPr>
    </w:lvl>
    <w:lvl w:ilvl="7" w:tplc="3622451A" w:tentative="1">
      <w:start w:val="1"/>
      <w:numFmt w:val="bullet"/>
      <w:lvlText w:val=""/>
      <w:lvlJc w:val="left"/>
      <w:pPr>
        <w:tabs>
          <w:tab w:val="num" w:pos="5760"/>
        </w:tabs>
        <w:ind w:left="5760" w:hanging="360"/>
      </w:pPr>
      <w:rPr>
        <w:rFonts w:ascii="Wingdings" w:hAnsi="Wingdings" w:hint="default"/>
      </w:rPr>
    </w:lvl>
    <w:lvl w:ilvl="8" w:tplc="7E5C279C"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28E"/>
    <w:rsid w:val="00024480"/>
    <w:rsid w:val="00055575"/>
    <w:rsid w:val="000A3A07"/>
    <w:rsid w:val="000B1DBB"/>
    <w:rsid w:val="000D7E93"/>
    <w:rsid w:val="00121735"/>
    <w:rsid w:val="001715BC"/>
    <w:rsid w:val="00194B6D"/>
    <w:rsid w:val="001E7B25"/>
    <w:rsid w:val="00252A26"/>
    <w:rsid w:val="00256639"/>
    <w:rsid w:val="0029335A"/>
    <w:rsid w:val="0031652A"/>
    <w:rsid w:val="003246F9"/>
    <w:rsid w:val="00351545"/>
    <w:rsid w:val="003677B7"/>
    <w:rsid w:val="003A641A"/>
    <w:rsid w:val="0042501F"/>
    <w:rsid w:val="0045028E"/>
    <w:rsid w:val="004C4850"/>
    <w:rsid w:val="00503E0A"/>
    <w:rsid w:val="005C3F96"/>
    <w:rsid w:val="005E6164"/>
    <w:rsid w:val="00610716"/>
    <w:rsid w:val="006D43B7"/>
    <w:rsid w:val="00744614"/>
    <w:rsid w:val="00792FC5"/>
    <w:rsid w:val="007A7B42"/>
    <w:rsid w:val="007E5AF8"/>
    <w:rsid w:val="008500C1"/>
    <w:rsid w:val="008835D8"/>
    <w:rsid w:val="008A03B9"/>
    <w:rsid w:val="008D650E"/>
    <w:rsid w:val="009619D8"/>
    <w:rsid w:val="009A2741"/>
    <w:rsid w:val="009C4D10"/>
    <w:rsid w:val="009D32D6"/>
    <w:rsid w:val="009F52BD"/>
    <w:rsid w:val="00A01D2D"/>
    <w:rsid w:val="00A045F9"/>
    <w:rsid w:val="00A428E1"/>
    <w:rsid w:val="00AC3048"/>
    <w:rsid w:val="00AD2D27"/>
    <w:rsid w:val="00B06F7F"/>
    <w:rsid w:val="00B248C6"/>
    <w:rsid w:val="00B30863"/>
    <w:rsid w:val="00B51702"/>
    <w:rsid w:val="00BC00E0"/>
    <w:rsid w:val="00BD2866"/>
    <w:rsid w:val="00CA7B81"/>
    <w:rsid w:val="00D365E9"/>
    <w:rsid w:val="00DB4E73"/>
    <w:rsid w:val="00E22EAB"/>
    <w:rsid w:val="00E81E49"/>
    <w:rsid w:val="00EA4D9E"/>
    <w:rsid w:val="00EC0F20"/>
    <w:rsid w:val="00FA3A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F177D-6E47-451A-9B8F-ED968A117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5E9"/>
    <w:pPr>
      <w:spacing w:after="0" w:line="240" w:lineRule="auto"/>
    </w:pPr>
    <w:rPr>
      <w:rFonts w:ascii="Arial" w:eastAsia="Times New Roman" w:hAnsi="Arial"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E5AF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5AF8"/>
    <w:rPr>
      <w:rFonts w:ascii="Segoe UI" w:eastAsia="Times New Roman" w:hAnsi="Segoe UI" w:cs="Segoe UI"/>
      <w:sz w:val="18"/>
      <w:szCs w:val="18"/>
      <w:lang w:eastAsia="es-ES"/>
    </w:rPr>
  </w:style>
  <w:style w:type="paragraph" w:styleId="NormalWeb">
    <w:name w:val="Normal (Web)"/>
    <w:basedOn w:val="Normal"/>
    <w:uiPriority w:val="99"/>
    <w:semiHidden/>
    <w:unhideWhenUsed/>
    <w:rsid w:val="00B30863"/>
    <w:pPr>
      <w:spacing w:before="100" w:beforeAutospacing="1" w:after="100" w:afterAutospacing="1"/>
    </w:pPr>
    <w:rPr>
      <w:rFonts w:ascii="Times New Roman" w:hAnsi="Times New Roman"/>
      <w:szCs w:val="24"/>
    </w:rPr>
  </w:style>
  <w:style w:type="paragraph" w:styleId="Prrafodelista">
    <w:name w:val="List Paragraph"/>
    <w:basedOn w:val="Normal"/>
    <w:uiPriority w:val="34"/>
    <w:qFormat/>
    <w:rsid w:val="00425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479174">
      <w:bodyDiv w:val="1"/>
      <w:marLeft w:val="0"/>
      <w:marRight w:val="0"/>
      <w:marTop w:val="0"/>
      <w:marBottom w:val="0"/>
      <w:divBdr>
        <w:top w:val="none" w:sz="0" w:space="0" w:color="auto"/>
        <w:left w:val="none" w:sz="0" w:space="0" w:color="auto"/>
        <w:bottom w:val="none" w:sz="0" w:space="0" w:color="auto"/>
        <w:right w:val="none" w:sz="0" w:space="0" w:color="auto"/>
      </w:divBdr>
    </w:div>
    <w:div w:id="151749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1018</Words>
  <Characters>5603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NAYIB  COLLAZOS RAMIREZ</dc:creator>
  <cp:keywords/>
  <dc:description/>
  <cp:lastModifiedBy>SARA CECILIA CAMPOS POSADA</cp:lastModifiedBy>
  <cp:revision>2</cp:revision>
  <cp:lastPrinted>2019-09-06T14:31:00Z</cp:lastPrinted>
  <dcterms:created xsi:type="dcterms:W3CDTF">2019-12-09T22:17:00Z</dcterms:created>
  <dcterms:modified xsi:type="dcterms:W3CDTF">2019-12-09T22:17:00Z</dcterms:modified>
</cp:coreProperties>
</file>